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4D08">
      <w:pPr>
        <w:adjustRightInd w:val="0"/>
        <w:snapToGrid w:val="0"/>
        <w:spacing w:line="324" w:lineRule="auto"/>
        <w:ind w:firstLine="602" w:firstLineChars="200"/>
        <w:jc w:val="center"/>
        <w:rPr>
          <w:rFonts w:ascii="仿宋_GB2312" w:eastAsia="仿宋_GB2312"/>
          <w:b/>
          <w:sz w:val="30"/>
          <w:szCs w:val="30"/>
        </w:rPr>
      </w:pPr>
    </w:p>
    <w:p w14:paraId="0936438A">
      <w:pPr>
        <w:adjustRightInd w:val="0"/>
        <w:snapToGrid w:val="0"/>
        <w:spacing w:line="324" w:lineRule="auto"/>
        <w:ind w:firstLine="602" w:firstLineChars="200"/>
        <w:jc w:val="center"/>
        <w:rPr>
          <w:rFonts w:ascii="仿宋_GB2312" w:eastAsia="仿宋_GB2312"/>
          <w:b/>
          <w:sz w:val="30"/>
          <w:szCs w:val="30"/>
        </w:rPr>
      </w:pPr>
      <w:r>
        <w:rPr>
          <w:rFonts w:ascii="仿宋_GB2312" w:eastAsia="仿宋_GB2312"/>
          <w:b/>
          <w:sz w:val="30"/>
          <w:szCs w:val="30"/>
        </w:rPr>
        <w:drawing>
          <wp:anchor distT="0" distB="0" distL="114300" distR="114300" simplePos="0" relativeHeight="251663360" behindDoc="1" locked="0" layoutInCell="1" allowOverlap="1">
            <wp:simplePos x="0" y="0"/>
            <wp:positionH relativeFrom="column">
              <wp:posOffset>21590</wp:posOffset>
            </wp:positionH>
            <wp:positionV relativeFrom="paragraph">
              <wp:posOffset>260350</wp:posOffset>
            </wp:positionV>
            <wp:extent cx="5080000" cy="5080000"/>
            <wp:effectExtent l="0" t="0" r="6350" b="6350"/>
            <wp:wrapNone/>
            <wp:docPr id="1" name="图片 1" descr="水印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印图标"/>
                    <pic:cNvPicPr>
                      <a:picLocks noChangeAspect="1"/>
                    </pic:cNvPicPr>
                  </pic:nvPicPr>
                  <pic:blipFill>
                    <a:blip r:embed="rId7"/>
                    <a:stretch>
                      <a:fillRect/>
                    </a:stretch>
                  </pic:blipFill>
                  <pic:spPr>
                    <a:xfrm>
                      <a:off x="0" y="0"/>
                      <a:ext cx="5080000" cy="5080000"/>
                    </a:xfrm>
                    <a:prstGeom prst="rect">
                      <a:avLst/>
                    </a:prstGeom>
                  </pic:spPr>
                </pic:pic>
              </a:graphicData>
            </a:graphic>
          </wp:anchor>
        </w:drawing>
      </w:r>
    </w:p>
    <w:p w14:paraId="67CB99E4">
      <w:pPr>
        <w:adjustRightInd w:val="0"/>
        <w:snapToGrid w:val="0"/>
        <w:spacing w:line="324" w:lineRule="auto"/>
        <w:ind w:firstLine="602" w:firstLineChars="200"/>
        <w:jc w:val="center"/>
        <w:rPr>
          <w:rFonts w:ascii="仿宋_GB2312" w:eastAsia="仿宋_GB2312"/>
          <w:b/>
          <w:sz w:val="30"/>
          <w:szCs w:val="30"/>
        </w:rPr>
      </w:pPr>
    </w:p>
    <w:p w14:paraId="4F39E52C">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4BDB3AC2">
      <w:pPr>
        <w:adjustRightInd w:val="0"/>
        <w:snapToGrid w:val="0"/>
        <w:spacing w:line="324" w:lineRule="auto"/>
        <w:ind w:firstLine="1044" w:firstLineChars="200"/>
        <w:jc w:val="center"/>
        <w:rPr>
          <w:rFonts w:ascii="仿宋_GB2312" w:eastAsia="仿宋_GB2312"/>
          <w:b/>
          <w:sz w:val="52"/>
          <w:szCs w:val="52"/>
        </w:rPr>
      </w:pPr>
    </w:p>
    <w:p w14:paraId="4D7D355D">
      <w:pPr>
        <w:adjustRightInd w:val="0"/>
        <w:snapToGrid w:val="0"/>
        <w:spacing w:line="324" w:lineRule="auto"/>
        <w:ind w:firstLine="600" w:firstLineChars="200"/>
        <w:rPr>
          <w:rFonts w:ascii="仿宋_GB2312" w:eastAsia="仿宋_GB2312"/>
          <w:sz w:val="30"/>
          <w:szCs w:val="30"/>
        </w:rPr>
      </w:pPr>
    </w:p>
    <w:p w14:paraId="1A3E7EDC">
      <w:pPr>
        <w:adjustRightInd w:val="0"/>
        <w:snapToGrid w:val="0"/>
        <w:spacing w:line="324" w:lineRule="auto"/>
        <w:ind w:firstLine="600" w:firstLineChars="200"/>
        <w:rPr>
          <w:rFonts w:ascii="仿宋_GB2312" w:eastAsia="仿宋_GB2312"/>
          <w:sz w:val="30"/>
          <w:szCs w:val="30"/>
        </w:rPr>
      </w:pPr>
    </w:p>
    <w:p w14:paraId="0C07C8EC">
      <w:pPr>
        <w:adjustRightInd w:val="0"/>
        <w:snapToGrid w:val="0"/>
        <w:spacing w:line="324" w:lineRule="auto"/>
        <w:ind w:firstLine="900" w:firstLineChars="250"/>
        <w:rPr>
          <w:rFonts w:ascii="仿宋_GB2312" w:eastAsia="仿宋_GB2312"/>
          <w:sz w:val="36"/>
          <w:szCs w:val="36"/>
        </w:rPr>
      </w:pPr>
      <w:r>
        <w:rPr>
          <w:rFonts w:hint="eastAsia" w:ascii="仿宋_GB2312" w:eastAsia="仿宋_GB2312"/>
          <w:sz w:val="36"/>
          <w:szCs w:val="36"/>
        </w:rPr>
        <w:t>项目编号：QZXZL202431</w:t>
      </w:r>
      <w:r>
        <w:rPr>
          <w:rFonts w:hint="eastAsia" w:ascii="仿宋_GB2312" w:eastAsia="仿宋_GB2312"/>
          <w:sz w:val="36"/>
          <w:szCs w:val="36"/>
          <w:lang w:val="en-US" w:eastAsia="zh-CN"/>
        </w:rPr>
        <w:t>1</w:t>
      </w:r>
    </w:p>
    <w:p w14:paraId="6E78D653">
      <w:pPr>
        <w:adjustRightInd w:val="0"/>
        <w:snapToGrid w:val="0"/>
        <w:spacing w:line="324" w:lineRule="auto"/>
        <w:ind w:firstLine="720" w:firstLineChars="200"/>
        <w:rPr>
          <w:rFonts w:ascii="仿宋_GB2312" w:eastAsia="仿宋_GB2312"/>
          <w:sz w:val="36"/>
          <w:szCs w:val="36"/>
        </w:rPr>
      </w:pPr>
    </w:p>
    <w:p w14:paraId="159CC8A9">
      <w:pPr>
        <w:adjustRightInd w:val="0"/>
        <w:snapToGrid w:val="0"/>
        <w:spacing w:line="324" w:lineRule="auto"/>
        <w:ind w:firstLine="900" w:firstLineChars="250"/>
        <w:rPr>
          <w:rFonts w:ascii="仿宋_GB2312" w:eastAsia="仿宋_GB2312"/>
          <w:sz w:val="36"/>
          <w:szCs w:val="36"/>
        </w:rPr>
      </w:pPr>
      <w:r>
        <w:rPr>
          <w:rFonts w:hint="eastAsia" w:ascii="仿宋_GB2312" w:eastAsia="仿宋_GB2312"/>
          <w:sz w:val="36"/>
          <w:szCs w:val="36"/>
        </w:rPr>
        <w:t>项目名称：泉州医学高等专科学校南安校区自助打印服务点</w:t>
      </w:r>
    </w:p>
    <w:p w14:paraId="462F2381">
      <w:pPr>
        <w:tabs>
          <w:tab w:val="left" w:pos="3330"/>
        </w:tabs>
        <w:adjustRightInd w:val="0"/>
        <w:snapToGrid w:val="0"/>
        <w:spacing w:line="324" w:lineRule="auto"/>
        <w:rPr>
          <w:rFonts w:ascii="仿宋_GB2312" w:hAnsi="宋体" w:eastAsia="仿宋_GB2312"/>
          <w:b/>
          <w:sz w:val="30"/>
          <w:szCs w:val="30"/>
        </w:rPr>
      </w:pPr>
    </w:p>
    <w:p w14:paraId="1800ECBB">
      <w:pPr>
        <w:tabs>
          <w:tab w:val="left" w:pos="3330"/>
        </w:tabs>
        <w:adjustRightInd w:val="0"/>
        <w:snapToGrid w:val="0"/>
        <w:spacing w:line="324" w:lineRule="auto"/>
        <w:rPr>
          <w:rFonts w:ascii="仿宋_GB2312" w:hAnsi="宋体" w:eastAsia="仿宋_GB2312"/>
          <w:b/>
          <w:sz w:val="30"/>
          <w:szCs w:val="30"/>
        </w:rPr>
      </w:pPr>
    </w:p>
    <w:p w14:paraId="35D10EEC">
      <w:pPr>
        <w:tabs>
          <w:tab w:val="left" w:pos="3330"/>
        </w:tabs>
        <w:adjustRightInd w:val="0"/>
        <w:snapToGrid w:val="0"/>
        <w:spacing w:line="324" w:lineRule="auto"/>
        <w:rPr>
          <w:rFonts w:ascii="仿宋_GB2312" w:hAnsi="宋体" w:eastAsia="仿宋_GB2312"/>
          <w:b/>
          <w:sz w:val="30"/>
          <w:szCs w:val="30"/>
        </w:rPr>
      </w:pPr>
    </w:p>
    <w:p w14:paraId="6D369318">
      <w:pPr>
        <w:tabs>
          <w:tab w:val="left" w:pos="3330"/>
        </w:tabs>
        <w:adjustRightInd w:val="0"/>
        <w:snapToGrid w:val="0"/>
        <w:spacing w:line="324" w:lineRule="auto"/>
        <w:rPr>
          <w:rFonts w:ascii="仿宋_GB2312" w:hAnsi="宋体" w:eastAsia="仿宋_GB2312"/>
          <w:b/>
          <w:sz w:val="30"/>
          <w:szCs w:val="30"/>
        </w:rPr>
      </w:pPr>
    </w:p>
    <w:p w14:paraId="238ABA60">
      <w:pPr>
        <w:tabs>
          <w:tab w:val="left" w:pos="3330"/>
        </w:tabs>
        <w:adjustRightInd w:val="0"/>
        <w:snapToGrid w:val="0"/>
        <w:spacing w:line="324" w:lineRule="auto"/>
        <w:rPr>
          <w:rFonts w:ascii="仿宋_GB2312" w:hAnsi="宋体" w:eastAsia="仿宋_GB2312"/>
          <w:b/>
          <w:sz w:val="30"/>
          <w:szCs w:val="30"/>
        </w:rPr>
      </w:pPr>
    </w:p>
    <w:p w14:paraId="0F2B13B8">
      <w:pPr>
        <w:tabs>
          <w:tab w:val="left" w:pos="3330"/>
        </w:tabs>
        <w:adjustRightInd w:val="0"/>
        <w:snapToGrid w:val="0"/>
        <w:spacing w:line="324" w:lineRule="auto"/>
        <w:rPr>
          <w:rFonts w:ascii="仿宋_GB2312" w:hAnsi="宋体" w:eastAsia="仿宋_GB2312"/>
          <w:b/>
          <w:sz w:val="30"/>
          <w:szCs w:val="30"/>
        </w:rPr>
      </w:pPr>
    </w:p>
    <w:p w14:paraId="5CEE75BC">
      <w:pPr>
        <w:tabs>
          <w:tab w:val="left" w:pos="3330"/>
        </w:tabs>
        <w:adjustRightInd w:val="0"/>
        <w:snapToGrid w:val="0"/>
        <w:spacing w:line="324" w:lineRule="auto"/>
        <w:rPr>
          <w:rFonts w:ascii="仿宋_GB2312" w:hAnsi="宋体" w:eastAsia="仿宋_GB2312"/>
          <w:b/>
          <w:sz w:val="30"/>
          <w:szCs w:val="30"/>
        </w:rPr>
      </w:pPr>
    </w:p>
    <w:p w14:paraId="76C703A7">
      <w:pPr>
        <w:tabs>
          <w:tab w:val="left" w:pos="3330"/>
        </w:tabs>
        <w:adjustRightInd w:val="0"/>
        <w:snapToGrid w:val="0"/>
        <w:spacing w:line="324" w:lineRule="auto"/>
        <w:rPr>
          <w:rFonts w:ascii="仿宋_GB2312" w:hAnsi="宋体" w:eastAsia="仿宋_GB2312"/>
          <w:b/>
          <w:sz w:val="30"/>
          <w:szCs w:val="30"/>
        </w:rPr>
      </w:pPr>
    </w:p>
    <w:p w14:paraId="5766E75D">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w:pict>
          <v:line id="Line 2" o:spid="_x0000_s1026" o:spt="20" style="position:absolute;left:0pt;margin-left:-7.5pt;margin-top:16.8pt;height:0pt;width:468pt;z-index:251664384;mso-width-relative:page;mso-height-relative:page;"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LmQG/XAAAACQEAAA8AAAAAAAAA&#10;AQAgAAAAIgAAAGRycy9kb3ducmV2LnhtbFBLAQIUABQAAAAIAIdO4kBDQu0T2QEAANwDAAAOAAAA&#10;AAAAAAEAIAAAACYBAABkcnMvZTJvRG9jLnhtbFBLBQYAAAAABgAGAFkBAABxBQAAAAA=&#10;">
            <v:path arrowok="t"/>
            <v:fill focussize="0,0"/>
            <v:stroke weight="2.25pt"/>
            <v:imagedata o:title=""/>
            <o:lock v:ext="edit"/>
          </v:line>
        </w:pict>
      </w:r>
    </w:p>
    <w:p w14:paraId="2EBA287D">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1312"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8"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F3A1E50">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36AF70FA">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编：362000  传   真：0595-22189023  </w:t>
      </w:r>
    </w:p>
    <w:p w14:paraId="6E77524F">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址：www.qzcq0595.com</w:t>
      </w:r>
    </w:p>
    <w:p w14:paraId="14173B89">
      <w:pPr>
        <w:pageBreakBefore/>
        <w:spacing w:line="560" w:lineRule="exact"/>
        <w:jc w:val="center"/>
        <w:rPr>
          <w:rFonts w:ascii="仿宋_GB2312" w:eastAsia="仿宋_GB2312"/>
          <w:b/>
          <w:sz w:val="44"/>
        </w:rPr>
      </w:pPr>
      <w:r>
        <w:rPr>
          <w:rFonts w:hint="eastAsia" w:ascii="仿宋_GB2312" w:eastAsia="仿宋_GB2312"/>
          <w:b/>
          <w:sz w:val="44"/>
        </w:rPr>
        <w:t>目  录</w:t>
      </w:r>
    </w:p>
    <w:p w14:paraId="57A536E0">
      <w:pPr>
        <w:pStyle w:val="16"/>
        <w:tabs>
          <w:tab w:val="right" w:leader="dot" w:pos="8296"/>
        </w:tabs>
        <w:rPr>
          <w:rFonts w:ascii="仿宋_GB2312" w:eastAsia="仿宋_GB2312" w:cstheme="minorBidi"/>
          <w:b w:val="0"/>
          <w:bCs w:val="0"/>
          <w:caps w:val="0"/>
          <w:sz w:val="44"/>
          <w:szCs w:val="44"/>
        </w:rPr>
      </w:pPr>
      <w:r>
        <w:rPr>
          <w:rFonts w:hint="eastAsia" w:ascii="仿宋_GB2312" w:eastAsia="仿宋_GB2312"/>
          <w:b w:val="0"/>
          <w:sz w:val="44"/>
          <w:szCs w:val="44"/>
        </w:rPr>
        <w:t>一、</w:t>
      </w:r>
      <w:r>
        <w:rPr>
          <w:rFonts w:hint="eastAsia" w:ascii="仿宋_GB2312" w:eastAsia="仿宋_GB2312"/>
          <w:b w:val="0"/>
          <w:sz w:val="44"/>
          <w:szCs w:val="44"/>
        </w:rPr>
        <w:fldChar w:fldCharType="begin"/>
      </w:r>
      <w:r>
        <w:rPr>
          <w:rFonts w:hint="eastAsia" w:ascii="仿宋_GB2312" w:eastAsia="仿宋_GB2312"/>
          <w:b w:val="0"/>
          <w:sz w:val="44"/>
          <w:szCs w:val="44"/>
        </w:rPr>
        <w:instrText xml:space="preserve"> TOC \o "1-3" \h \z \u </w:instrText>
      </w:r>
      <w:r>
        <w:rPr>
          <w:rFonts w:hint="eastAsia" w:ascii="仿宋_GB2312" w:eastAsia="仿宋_GB2312"/>
          <w:b w:val="0"/>
          <w:sz w:val="44"/>
          <w:szCs w:val="44"/>
        </w:rPr>
        <w:fldChar w:fldCharType="separate"/>
      </w:r>
      <w:r>
        <w:fldChar w:fldCharType="begin"/>
      </w:r>
      <w:r>
        <w:instrText xml:space="preserve"> HYPERLINK \l "_Toc25824620" </w:instrText>
      </w:r>
      <w:r>
        <w:fldChar w:fldCharType="separate"/>
      </w:r>
      <w:r>
        <w:rPr>
          <w:rStyle w:val="30"/>
          <w:rFonts w:hint="eastAsia" w:ascii="仿宋_GB2312" w:eastAsia="仿宋_GB2312" w:hAnsiTheme="majorEastAsia"/>
          <w:color w:val="auto"/>
          <w:spacing w:val="10"/>
          <w:sz w:val="44"/>
          <w:szCs w:val="44"/>
        </w:rPr>
        <w:t>项 目 公 告</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_Toc25824620 \h </w:instrText>
      </w:r>
      <w:r>
        <w:rPr>
          <w:rFonts w:hint="eastAsia" w:ascii="仿宋_GB2312" w:eastAsia="仿宋_GB2312"/>
          <w:sz w:val="44"/>
          <w:szCs w:val="44"/>
        </w:rPr>
        <w:fldChar w:fldCharType="separate"/>
      </w:r>
      <w:r>
        <w:rPr>
          <w:rFonts w:ascii="仿宋_GB2312" w:eastAsia="仿宋_GB2312"/>
          <w:sz w:val="44"/>
          <w:szCs w:val="44"/>
        </w:rPr>
        <w:t>3</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1CF4E72D">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 xml:space="preserve">二、泉 州 市 产 权 易 中 心 </w:t>
      </w:r>
      <w:r>
        <w:fldChar w:fldCharType="begin"/>
      </w:r>
      <w:r>
        <w:instrText xml:space="preserve"> HYPERLINK \l "_Toc25824621" </w:instrText>
      </w:r>
      <w:r>
        <w:fldChar w:fldCharType="separate"/>
      </w:r>
      <w:r>
        <w:rPr>
          <w:rStyle w:val="30"/>
          <w:rFonts w:hint="eastAsia" w:ascii="仿宋_GB2312" w:eastAsia="仿宋_GB2312" w:hAnsiTheme="majorEastAsia"/>
          <w:color w:val="auto"/>
          <w:spacing w:val="132"/>
          <w:kern w:val="0"/>
          <w:sz w:val="44"/>
          <w:szCs w:val="44"/>
          <w:u w:val="none"/>
        </w:rPr>
        <w:t>网络竞价须</w:t>
      </w:r>
      <w:r>
        <w:rPr>
          <w:rStyle w:val="30"/>
          <w:rFonts w:hint="eastAsia" w:ascii="仿宋_GB2312" w:eastAsia="仿宋_GB2312" w:hAnsiTheme="majorEastAsia"/>
          <w:color w:val="auto"/>
          <w:spacing w:val="2"/>
          <w:kern w:val="0"/>
          <w:sz w:val="44"/>
          <w:szCs w:val="44"/>
          <w:u w:val="none"/>
        </w:rPr>
        <w:t>知</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_Toc25824621 \h </w:instrText>
      </w:r>
      <w:r>
        <w:rPr>
          <w:rFonts w:hint="eastAsia" w:ascii="仿宋_GB2312" w:eastAsia="仿宋_GB2312"/>
          <w:sz w:val="44"/>
          <w:szCs w:val="44"/>
        </w:rPr>
        <w:fldChar w:fldCharType="separate"/>
      </w:r>
      <w:r>
        <w:rPr>
          <w:rFonts w:ascii="仿宋_GB2312" w:eastAsia="仿宋_GB2312"/>
          <w:sz w:val="44"/>
          <w:szCs w:val="44"/>
        </w:rPr>
        <w:t>8</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380B3A09">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三、</w:t>
      </w:r>
      <w:r>
        <w:fldChar w:fldCharType="begin"/>
      </w:r>
      <w:r>
        <w:instrText xml:space="preserve"> HYPERLINK \l "_Toc25824622" </w:instrText>
      </w:r>
      <w:r>
        <w:fldChar w:fldCharType="separate"/>
      </w:r>
      <w:r>
        <w:rPr>
          <w:rStyle w:val="30"/>
          <w:rFonts w:hint="eastAsia" w:ascii="仿宋_GB2312" w:eastAsia="仿宋_GB2312" w:hAnsiTheme="majorEastAsia"/>
          <w:color w:val="auto"/>
          <w:spacing w:val="74"/>
          <w:sz w:val="44"/>
          <w:szCs w:val="44"/>
          <w:u w:val="none"/>
        </w:rPr>
        <w:t>网络竞价承诺</w:t>
      </w:r>
      <w:r>
        <w:rPr>
          <w:rStyle w:val="30"/>
          <w:rFonts w:hint="eastAsia" w:ascii="仿宋_GB2312" w:eastAsia="仿宋_GB2312" w:hAnsiTheme="majorEastAsia"/>
          <w:color w:val="auto"/>
          <w:spacing w:val="-3"/>
          <w:sz w:val="44"/>
          <w:szCs w:val="44"/>
          <w:u w:val="none"/>
        </w:rPr>
        <w:t>函</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_Toc25824622 \h </w:instrText>
      </w:r>
      <w:r>
        <w:rPr>
          <w:rFonts w:hint="eastAsia" w:ascii="仿宋_GB2312" w:eastAsia="仿宋_GB2312"/>
          <w:sz w:val="44"/>
          <w:szCs w:val="44"/>
        </w:rPr>
        <w:fldChar w:fldCharType="separate"/>
      </w:r>
      <w:r>
        <w:rPr>
          <w:rFonts w:ascii="仿宋_GB2312" w:eastAsia="仿宋_GB2312"/>
          <w:sz w:val="44"/>
          <w:szCs w:val="44"/>
        </w:rPr>
        <w:t>12</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03227CC4">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四、</w:t>
      </w:r>
      <w:r>
        <w:fldChar w:fldCharType="begin"/>
      </w:r>
      <w:r>
        <w:instrText xml:space="preserve"> HYPERLINK \l "_Toc25824623" </w:instrText>
      </w:r>
      <w:r>
        <w:fldChar w:fldCharType="separate"/>
      </w:r>
      <w:r>
        <w:rPr>
          <w:rStyle w:val="30"/>
          <w:rFonts w:hint="eastAsia" w:ascii="仿宋_GB2312" w:eastAsia="仿宋_GB2312" w:hAnsiTheme="majorEastAsia"/>
          <w:color w:val="auto"/>
          <w:spacing w:val="220"/>
          <w:sz w:val="44"/>
          <w:szCs w:val="44"/>
          <w:u w:val="none"/>
        </w:rPr>
        <w:t>授权委托</w:t>
      </w:r>
      <w:r>
        <w:rPr>
          <w:rStyle w:val="30"/>
          <w:rFonts w:hint="eastAsia" w:ascii="仿宋_GB2312" w:eastAsia="仿宋_GB2312" w:hAnsiTheme="majorEastAsia"/>
          <w:color w:val="auto"/>
          <w:spacing w:val="3"/>
          <w:sz w:val="44"/>
          <w:szCs w:val="44"/>
          <w:u w:val="none"/>
        </w:rPr>
        <w:t>书</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_Toc25824623 \h </w:instrText>
      </w:r>
      <w:r>
        <w:rPr>
          <w:rFonts w:hint="eastAsia" w:ascii="仿宋_GB2312" w:eastAsia="仿宋_GB2312"/>
          <w:sz w:val="44"/>
          <w:szCs w:val="44"/>
        </w:rPr>
        <w:fldChar w:fldCharType="separate"/>
      </w:r>
      <w:r>
        <w:rPr>
          <w:rFonts w:ascii="仿宋_GB2312" w:eastAsia="仿宋_GB2312"/>
          <w:sz w:val="44"/>
          <w:szCs w:val="44"/>
        </w:rPr>
        <w:t>18</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69B885B3">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五、</w:t>
      </w:r>
      <w:r>
        <w:fldChar w:fldCharType="begin"/>
      </w:r>
      <w:r>
        <w:instrText xml:space="preserve"> HYPERLINK \l "_Toc25824624" </w:instrText>
      </w:r>
      <w:r>
        <w:fldChar w:fldCharType="separate"/>
      </w:r>
      <w:r>
        <w:rPr>
          <w:rStyle w:val="30"/>
          <w:rFonts w:hint="eastAsia" w:ascii="仿宋_GB2312" w:eastAsia="仿宋_GB2312" w:hAnsiTheme="minorEastAsia" w:cstheme="minorEastAsia"/>
          <w:color w:val="auto"/>
          <w:sz w:val="44"/>
          <w:szCs w:val="44"/>
          <w:u w:val="none"/>
        </w:rPr>
        <w:t>交易保证金退还申请书</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_Toc25824624 \h </w:instrText>
      </w:r>
      <w:r>
        <w:rPr>
          <w:rFonts w:hint="eastAsia" w:ascii="仿宋_GB2312" w:eastAsia="仿宋_GB2312"/>
          <w:sz w:val="44"/>
          <w:szCs w:val="44"/>
        </w:rPr>
        <w:fldChar w:fldCharType="separate"/>
      </w:r>
      <w:r>
        <w:rPr>
          <w:rFonts w:ascii="仿宋_GB2312" w:eastAsia="仿宋_GB2312"/>
          <w:sz w:val="44"/>
          <w:szCs w:val="44"/>
        </w:rPr>
        <w:t>19</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2FAA4ADE">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六、</w:t>
      </w:r>
      <w:r>
        <w:fldChar w:fldCharType="begin"/>
      </w:r>
      <w:r>
        <w:instrText xml:space="preserve"> HYPERLINK \l "_Toc25824625" </w:instrText>
      </w:r>
      <w:r>
        <w:fldChar w:fldCharType="separate"/>
      </w:r>
      <w:r>
        <w:rPr>
          <w:rStyle w:val="30"/>
          <w:rFonts w:hint="eastAsia" w:ascii="仿宋_GB2312" w:eastAsia="仿宋_GB2312" w:hAnsiTheme="majorEastAsia"/>
          <w:color w:val="auto"/>
          <w:sz w:val="44"/>
          <w:szCs w:val="44"/>
          <w:u w:val="none"/>
        </w:rPr>
        <w:t>交易服务费收费标准</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_Toc25824625 \h </w:instrText>
      </w:r>
      <w:r>
        <w:rPr>
          <w:rFonts w:hint="eastAsia" w:ascii="仿宋_GB2312" w:eastAsia="仿宋_GB2312"/>
          <w:sz w:val="44"/>
          <w:szCs w:val="44"/>
        </w:rPr>
        <w:fldChar w:fldCharType="separate"/>
      </w:r>
      <w:r>
        <w:rPr>
          <w:rFonts w:ascii="仿宋_GB2312" w:eastAsia="仿宋_GB2312"/>
          <w:sz w:val="44"/>
          <w:szCs w:val="44"/>
        </w:rPr>
        <w:t>20</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2890D24E">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七、</w:t>
      </w:r>
      <w:r>
        <w:fldChar w:fldCharType="begin"/>
      </w:r>
      <w:r>
        <w:instrText xml:space="preserve"> HYPERLINK \l "_Toc25824626" </w:instrText>
      </w:r>
      <w:r>
        <w:fldChar w:fldCharType="separate"/>
      </w:r>
      <w:r>
        <w:rPr>
          <w:rStyle w:val="30"/>
          <w:rFonts w:hint="eastAsia" w:ascii="仿宋_GB2312" w:eastAsia="仿宋_GB2312" w:hAnsiTheme="majorEastAsia"/>
          <w:color w:val="auto"/>
          <w:sz w:val="44"/>
          <w:szCs w:val="44"/>
          <w:u w:val="none"/>
        </w:rPr>
        <w:t>合  同  范  本</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_Toc25824626 \h </w:instrText>
      </w:r>
      <w:r>
        <w:rPr>
          <w:rFonts w:hint="eastAsia" w:ascii="仿宋_GB2312" w:eastAsia="仿宋_GB2312"/>
          <w:sz w:val="44"/>
          <w:szCs w:val="44"/>
        </w:rPr>
        <w:fldChar w:fldCharType="separate"/>
      </w:r>
      <w:r>
        <w:rPr>
          <w:rFonts w:ascii="仿宋_GB2312" w:eastAsia="仿宋_GB2312"/>
          <w:sz w:val="44"/>
          <w:szCs w:val="44"/>
        </w:rPr>
        <w:t>21</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5B0474AF">
      <w:pPr>
        <w:pStyle w:val="2"/>
        <w:snapToGrid w:val="0"/>
        <w:spacing w:before="0" w:after="0" w:line="240" w:lineRule="auto"/>
        <w:jc w:val="center"/>
        <w:rPr>
          <w:rFonts w:ascii="仿宋_GB2312" w:eastAsia="仿宋_GB2312"/>
          <w:sz w:val="44"/>
          <w:szCs w:val="44"/>
          <w:lang w:eastAsia="zh-CN"/>
        </w:rPr>
      </w:pPr>
      <w:r>
        <w:rPr>
          <w:rFonts w:hint="eastAsia" w:ascii="仿宋_GB2312" w:eastAsia="仿宋_GB2312"/>
          <w:sz w:val="44"/>
          <w:szCs w:val="44"/>
        </w:rPr>
        <w:fldChar w:fldCharType="end"/>
      </w:r>
    </w:p>
    <w:p w14:paraId="42753C9F"/>
    <w:p w14:paraId="44B42C77"/>
    <w:p w14:paraId="768707B4"/>
    <w:p w14:paraId="36EEC817"/>
    <w:p w14:paraId="600381DC"/>
    <w:p w14:paraId="2F7837AE"/>
    <w:p w14:paraId="440B9408"/>
    <w:p w14:paraId="01C45272"/>
    <w:p w14:paraId="65E1C396">
      <w:pPr>
        <w:pStyle w:val="2"/>
        <w:pageBreakBefore/>
        <w:jc w:val="center"/>
        <w:rPr>
          <w:rFonts w:hint="eastAsia" w:asciiTheme="majorEastAsia" w:hAnsiTheme="majorEastAsia" w:eastAsiaTheme="majorEastAsia"/>
          <w:spacing w:val="10"/>
          <w:sz w:val="44"/>
          <w:szCs w:val="44"/>
        </w:rPr>
      </w:pPr>
      <w:bookmarkStart w:id="0" w:name="_Toc25824620"/>
      <w:r>
        <w:rPr>
          <w:rFonts w:hint="eastAsia" w:asciiTheme="majorEastAsia" w:hAnsiTheme="majorEastAsia" w:eastAsiaTheme="majorEastAsia"/>
          <w:spacing w:val="10"/>
          <w:sz w:val="44"/>
          <w:szCs w:val="44"/>
        </w:rPr>
        <w:t>项 目 公 告</w:t>
      </w:r>
      <w:bookmarkEnd w:id="0"/>
    </w:p>
    <w:p w14:paraId="02E58C7B">
      <w:pPr>
        <w:pStyle w:val="21"/>
        <w:keepNext w:val="0"/>
        <w:keepLines w:val="0"/>
        <w:widowControl/>
        <w:suppressLineNumbers w:val="0"/>
        <w:spacing w:before="0" w:beforeAutospacing="0" w:after="0" w:afterAutospacing="0"/>
        <w:ind w:left="0" w:right="0"/>
      </w:pPr>
      <w:r>
        <w:rPr>
          <w:rFonts w:ascii="仿宋" w:hAnsi="仿宋" w:eastAsia="仿宋" w:cs="仿宋"/>
          <w:i w:val="0"/>
          <w:iCs w:val="0"/>
          <w:sz w:val="24"/>
          <w:szCs w:val="24"/>
          <w:shd w:val="clear" w:fill="FFFFFF"/>
        </w:rPr>
        <w:t>项目编号:</w:t>
      </w:r>
      <w:r>
        <w:rPr>
          <w:rFonts w:hint="eastAsia" w:ascii="仿宋" w:hAnsi="仿宋" w:eastAsia="仿宋" w:cs="仿宋"/>
          <w:i w:val="0"/>
          <w:iCs w:val="0"/>
          <w:sz w:val="24"/>
          <w:szCs w:val="24"/>
          <w:shd w:val="clear" w:fill="FFFFFF"/>
        </w:rPr>
        <w:t>QZXZL2024311</w:t>
      </w:r>
    </w:p>
    <w:p w14:paraId="7753B6FA">
      <w:pPr>
        <w:pStyle w:val="21"/>
        <w:keepNext w:val="0"/>
        <w:keepLines w:val="0"/>
        <w:widowControl/>
        <w:suppressLineNumbers w:val="0"/>
        <w:spacing w:before="0" w:beforeAutospacing="0" w:after="0" w:afterAutospacing="0"/>
        <w:ind w:left="0" w:right="0"/>
        <w:rPr>
          <w:u w:val="none"/>
        </w:rPr>
      </w:pPr>
      <w:r>
        <w:rPr>
          <w:rFonts w:ascii="仿宋_GB2312" w:hAnsi="Tahoma" w:eastAsia="仿宋_GB2312" w:cs="仿宋_GB2312"/>
          <w:i w:val="0"/>
          <w:iCs w:val="0"/>
          <w:sz w:val="24"/>
          <w:szCs w:val="24"/>
          <w:shd w:val="clear" w:fill="FFFFFF"/>
        </w:rPr>
        <w:t>    </w:t>
      </w:r>
      <w:r>
        <w:rPr>
          <w:rFonts w:hint="eastAsia" w:ascii="仿宋_GB2312" w:hAnsi="Tahoma" w:eastAsia="仿宋_GB2312" w:cs="仿宋_GB2312"/>
          <w:i w:val="0"/>
          <w:iCs w:val="0"/>
          <w:sz w:val="24"/>
          <w:szCs w:val="24"/>
          <w:shd w:val="clear" w:fill="FFFFFF"/>
          <w:lang w:val="en-US" w:eastAsia="zh-CN"/>
        </w:rPr>
        <w:t xml:space="preserve"> </w:t>
      </w:r>
      <w:r>
        <w:rPr>
          <w:rFonts w:hint="eastAsia" w:ascii="仿宋_GB2312" w:hAnsi="Tahoma" w:eastAsia="仿宋_GB2312" w:cs="仿宋_GB2312"/>
          <w:i w:val="0"/>
          <w:iCs w:val="0"/>
          <w:sz w:val="24"/>
          <w:szCs w:val="24"/>
          <w:u w:val="none"/>
          <w:shd w:val="clear" w:fill="FFFFFF"/>
          <w:lang w:val="en-US" w:eastAsia="zh-CN"/>
        </w:rPr>
        <w:t xml:space="preserve"> </w:t>
      </w:r>
      <w:r>
        <w:rPr>
          <w:rFonts w:ascii="仿宋_GB2312" w:hAnsi="Tahoma" w:eastAsia="仿宋_GB2312" w:cs="仿宋_GB2312"/>
          <w:i w:val="0"/>
          <w:iCs w:val="0"/>
          <w:sz w:val="24"/>
          <w:szCs w:val="24"/>
          <w:u w:val="none"/>
          <w:shd w:val="clear" w:fill="FFFFFF"/>
        </w:rPr>
        <w:t>受</w:t>
      </w:r>
      <w:r>
        <w:rPr>
          <w:rFonts w:hint="default" w:ascii="仿宋_GB2312" w:hAnsi="Tahoma" w:eastAsia="仿宋_GB2312" w:cs="仿宋_GB2312"/>
          <w:i w:val="0"/>
          <w:iCs w:val="0"/>
          <w:sz w:val="24"/>
          <w:szCs w:val="24"/>
          <w:u w:val="none"/>
          <w:shd w:val="clear" w:fill="FFFFFF"/>
        </w:rPr>
        <w:t xml:space="preserve">泉州医学高等专科学校委托，泉州市产权交易中心（以下简称“本中心”）采用 </w:t>
      </w:r>
      <w:r>
        <w:rPr>
          <w:rFonts w:hint="default" w:ascii="仿宋_GB2312" w:hAnsi="Tahoma" w:eastAsia="仿宋_GB2312" w:cs="仿宋_GB2312"/>
          <w:b/>
          <w:bCs/>
          <w:i w:val="0"/>
          <w:iCs w:val="0"/>
          <w:sz w:val="24"/>
          <w:szCs w:val="24"/>
          <w:u w:val="none"/>
          <w:shd w:val="clear" w:fill="FFFFFF"/>
        </w:rPr>
        <w:t>网络动态竞价</w:t>
      </w:r>
      <w:r>
        <w:rPr>
          <w:rFonts w:hint="default" w:ascii="仿宋_GB2312" w:hAnsi="Tahoma" w:eastAsia="仿宋_GB2312" w:cs="仿宋_GB2312"/>
          <w:i w:val="0"/>
          <w:iCs w:val="0"/>
          <w:sz w:val="24"/>
          <w:szCs w:val="24"/>
          <w:u w:val="none"/>
          <w:shd w:val="clear" w:fill="FFFFFF"/>
        </w:rPr>
        <w:t>方式对泉州医学高等专科学校南安校区自助打印服务点进行公开招租，欢迎符合条件的意向竞租人(意向竞租人指的是有意向参与该竞价项目的各交易主体。)前来参与竞价。现将有关情况公告如下：</w:t>
      </w:r>
      <w:r>
        <w:rPr>
          <w:rFonts w:hint="default" w:ascii="Tahoma" w:hAnsi="Tahoma" w:eastAsia="Tahoma" w:cs="Tahoma"/>
          <w:i w:val="0"/>
          <w:iCs w:val="0"/>
          <w:sz w:val="16"/>
          <w:szCs w:val="16"/>
          <w:u w:val="none"/>
          <w:shd w:val="clear" w:fill="FFFFFF"/>
        </w:rPr>
        <w:t xml:space="preserve"> </w:t>
      </w:r>
    </w:p>
    <w:p w14:paraId="167BB16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1、项目编号：QZXZL2024311。</w:t>
      </w:r>
    </w:p>
    <w:p w14:paraId="6B708198">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2、标的名称：泉州医学高等专科学校南安校区自助打印服务点。</w:t>
      </w:r>
    </w:p>
    <w:p w14:paraId="60103BD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3、标的地址：泉州市南安市罗东镇源昌路100号。</w:t>
      </w:r>
    </w:p>
    <w:p w14:paraId="0F5040D1">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4、标的面积：8㎡[指定8个自助打印服务点（详见附件1），每个点位1㎡）]。</w:t>
      </w:r>
    </w:p>
    <w:p w14:paraId="7B505D37">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5、装修情况：标的以现状为准</w:t>
      </w:r>
      <w:bookmarkStart w:id="8" w:name="_GoBack"/>
      <w:bookmarkEnd w:id="8"/>
      <w:r>
        <w:rPr>
          <w:rFonts w:hint="default" w:ascii="仿宋_GB2312" w:hAnsi="Tahoma" w:eastAsia="仿宋_GB2312" w:cs="仿宋_GB2312"/>
          <w:i w:val="0"/>
          <w:iCs w:val="0"/>
          <w:sz w:val="24"/>
          <w:szCs w:val="24"/>
          <w:u w:val="none"/>
          <w:shd w:val="clear" w:fill="FFFFFF"/>
        </w:rPr>
        <w:t>。</w:t>
      </w:r>
    </w:p>
    <w:p w14:paraId="22392574">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6、挂牌价：800元/月。</w:t>
      </w:r>
    </w:p>
    <w:p w14:paraId="7D7E77BA">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7、租赁期：3年。</w:t>
      </w:r>
    </w:p>
    <w:p w14:paraId="7FC48713">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8、装修期：无。</w:t>
      </w:r>
    </w:p>
    <w:p w14:paraId="5AF2E903">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9、租金支付方式：每学年（10个月）为一个计付周期，每一个计付周期开始的五日内支付。</w:t>
      </w:r>
    </w:p>
    <w:p w14:paraId="53C9A205">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10、租金递增方式：无。</w:t>
      </w:r>
    </w:p>
    <w:p w14:paraId="6F4721C8">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11、租赁用途：自助打印服务</w:t>
      </w:r>
      <w:r>
        <w:rPr>
          <w:rFonts w:hint="eastAsia" w:ascii="仿宋_GB2312" w:hAnsi="Tahoma" w:eastAsia="仿宋_GB2312" w:cs="仿宋_GB2312"/>
          <w:b/>
          <w:bCs/>
          <w:i w:val="0"/>
          <w:iCs w:val="0"/>
          <w:sz w:val="24"/>
          <w:szCs w:val="24"/>
          <w:u w:val="none"/>
          <w:shd w:val="clear" w:fill="FFFFFF"/>
          <w:lang w:val="en-US" w:eastAsia="zh-CN"/>
        </w:rPr>
        <w:t>(仅限自助打印服务、不准使用明火)</w:t>
      </w:r>
      <w:r>
        <w:rPr>
          <w:rFonts w:hint="default" w:ascii="仿宋_GB2312" w:hAnsi="Tahoma" w:eastAsia="仿宋_GB2312" w:cs="仿宋_GB2312"/>
          <w:b/>
          <w:bCs/>
          <w:i w:val="0"/>
          <w:iCs w:val="0"/>
          <w:sz w:val="24"/>
          <w:szCs w:val="24"/>
          <w:u w:val="none"/>
          <w:shd w:val="clear" w:fill="FFFFFF"/>
        </w:rPr>
        <w:t>。</w:t>
      </w:r>
    </w:p>
    <w:p w14:paraId="0FDBF341">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12、权属证明载明用途:教育用地/教育用房。</w:t>
      </w:r>
    </w:p>
    <w:p w14:paraId="7EA13D79">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13、履约保证金（押金）：2个月租金。</w:t>
      </w:r>
    </w:p>
    <w:p w14:paraId="75E9F846">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14、交易保证金：2400元。</w:t>
      </w:r>
    </w:p>
    <w:p w14:paraId="7F9E5E1E">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default" w:ascii="仿宋_GB2312" w:hAnsi="Tahoma" w:eastAsia="仿宋_GB2312" w:cs="仿宋_GB2312"/>
          <w:b/>
          <w:bCs/>
          <w:i w:val="0"/>
          <w:iCs w:val="0"/>
          <w:sz w:val="24"/>
          <w:szCs w:val="24"/>
          <w:u w:val="none"/>
          <w:shd w:val="clear" w:fill="FFFFFF"/>
        </w:rPr>
        <w:t>用途请注明“交易保证金”字样</w:t>
      </w:r>
      <w:r>
        <w:rPr>
          <w:rFonts w:hint="default" w:ascii="仿宋_GB2312" w:hAnsi="Tahoma" w:eastAsia="仿宋_GB2312" w:cs="仿宋_GB2312"/>
          <w:i w:val="0"/>
          <w:iCs w:val="0"/>
          <w:sz w:val="24"/>
          <w:szCs w:val="24"/>
          <w:u w:val="none"/>
          <w:shd w:val="clear" w:fill="FFFFFF"/>
        </w:rPr>
        <w:t>。</w:t>
      </w:r>
    </w:p>
    <w:p w14:paraId="52743D14">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(2)竞租人授权他人办理竞租手续的，须以银行转账的方式缴纳交易保证金。</w:t>
      </w:r>
    </w:p>
    <w:p w14:paraId="75C1EF17">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若竞租成功，竞租人即成为承租方，承租方的交易保证金在签署《竞价结果通知单》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65DDB229">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若意向竞租人交纳交易保证金后因未完成报名或未成功报名而未能成为竞租人，本中心将在收到意向竞租人《交易保证金退还申请书》之日起3个工作日内或确定承租方次日起3个工作日内将其交易保证金按原汇入渠道无息退还。</w:t>
      </w:r>
    </w:p>
    <w:p w14:paraId="24BA892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15、本中心指定的交易保证金账户：</w:t>
      </w:r>
    </w:p>
    <w:p w14:paraId="22A67389">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开户名称：泉州市产权交易中心有限公司</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开户银行：兴业银行泉州丰泽支行</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银行账号：152690100100090830107519</w:t>
      </w:r>
    </w:p>
    <w:p w14:paraId="35B96FFA">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16、公告时间：2024-12-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 xml:space="preserve"> 至 2024-12-</w:t>
      </w:r>
      <w:r>
        <w:rPr>
          <w:rFonts w:hint="eastAsia" w:ascii="仿宋_GB2312" w:hAnsi="Tahoma" w:eastAsia="仿宋_GB2312" w:cs="仿宋_GB2312"/>
          <w:i w:val="0"/>
          <w:iCs w:val="0"/>
          <w:sz w:val="24"/>
          <w:szCs w:val="24"/>
          <w:u w:val="none"/>
          <w:shd w:val="clear" w:fill="FFFFFF"/>
          <w:lang w:val="en-US" w:eastAsia="zh-CN"/>
        </w:rPr>
        <w:t>23</w:t>
      </w:r>
      <w:r>
        <w:rPr>
          <w:rFonts w:hint="default" w:ascii="仿宋_GB2312" w:hAnsi="Tahoma" w:eastAsia="仿宋_GB2312" w:cs="仿宋_GB2312"/>
          <w:i w:val="0"/>
          <w:iCs w:val="0"/>
          <w:sz w:val="24"/>
          <w:szCs w:val="24"/>
          <w:u w:val="none"/>
          <w:shd w:val="clear" w:fill="FFFFFF"/>
        </w:rPr>
        <w:t>。</w:t>
      </w:r>
    </w:p>
    <w:p w14:paraId="0B25F5DF">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17、交易保证金汇达和提交完整报名竞价材料截止时间：2024-12-</w:t>
      </w:r>
      <w:r>
        <w:rPr>
          <w:rFonts w:hint="eastAsia" w:ascii="仿宋_GB2312" w:hAnsi="Tahoma" w:eastAsia="仿宋_GB2312" w:cs="仿宋_GB2312"/>
          <w:b/>
          <w:bCs/>
          <w:i w:val="0"/>
          <w:iCs w:val="0"/>
          <w:sz w:val="24"/>
          <w:szCs w:val="24"/>
          <w:u w:val="none"/>
          <w:shd w:val="clear" w:fill="FFFFFF"/>
          <w:lang w:val="en-US" w:eastAsia="zh-CN"/>
        </w:rPr>
        <w:t>23</w:t>
      </w:r>
      <w:r>
        <w:rPr>
          <w:rFonts w:hint="default" w:ascii="仿宋_GB2312" w:hAnsi="Tahoma" w:eastAsia="仿宋_GB2312" w:cs="仿宋_GB2312"/>
          <w:b/>
          <w:bCs/>
          <w:i w:val="0"/>
          <w:iCs w:val="0"/>
          <w:sz w:val="24"/>
          <w:szCs w:val="24"/>
          <w:u w:val="none"/>
          <w:shd w:val="clear" w:fill="FFFFFF"/>
        </w:rPr>
        <w:t xml:space="preserve"> 17:00:00。</w:t>
      </w:r>
    </w:p>
    <w:p w14:paraId="78C95941">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i w:val="0"/>
          <w:iCs w:val="0"/>
          <w:sz w:val="24"/>
          <w:szCs w:val="24"/>
          <w:u w:val="none"/>
          <w:shd w:val="clear" w:fill="FFFFFF"/>
        </w:rPr>
        <w:t>意向竞租人应至本中心网站(www.qzcq0595.com)或权益云交易平台网站(www.unibid.cn)进行免费用户注册，在报名截止时间前凭已申请的权益云账号在本中心网站竞价看板或权益云交易平台网站竞价大厅内查找竞租项目并自行办理网上报名手续。</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xml:space="preserve">　 </w:t>
      </w:r>
      <w:r>
        <w:rPr>
          <w:rFonts w:hint="default" w:ascii="仿宋_GB2312" w:hAnsi="Tahoma" w:eastAsia="仿宋_GB2312" w:cs="仿宋_GB2312"/>
          <w:b/>
          <w:bCs/>
          <w:i w:val="0"/>
          <w:iCs w:val="0"/>
          <w:sz w:val="24"/>
          <w:szCs w:val="24"/>
          <w:u w:val="none"/>
          <w:shd w:val="clear" w:fill="FFFFFF"/>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73C5954">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18、看样时间：2024-12-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至2024-12-</w:t>
      </w:r>
      <w:r>
        <w:rPr>
          <w:rFonts w:hint="eastAsia" w:ascii="仿宋_GB2312" w:hAnsi="Tahoma" w:eastAsia="仿宋_GB2312" w:cs="仿宋_GB2312"/>
          <w:i w:val="0"/>
          <w:iCs w:val="0"/>
          <w:sz w:val="24"/>
          <w:szCs w:val="24"/>
          <w:u w:val="none"/>
          <w:shd w:val="clear" w:fill="FFFFFF"/>
          <w:lang w:val="en-US" w:eastAsia="zh-CN"/>
        </w:rPr>
        <w:t>23</w:t>
      </w:r>
      <w:r>
        <w:rPr>
          <w:rFonts w:hint="default" w:ascii="仿宋_GB2312" w:hAnsi="Tahoma" w:eastAsia="仿宋_GB2312" w:cs="仿宋_GB2312"/>
          <w:i w:val="0"/>
          <w:iCs w:val="0"/>
          <w:sz w:val="24"/>
          <w:szCs w:val="24"/>
          <w:u w:val="none"/>
          <w:shd w:val="clear" w:fill="FFFFFF"/>
        </w:rPr>
        <w:t>（仅上班时间）。</w:t>
      </w:r>
    </w:p>
    <w:p w14:paraId="4A55D9E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看样联系人：韦老师；联系电话：18859591789</w:t>
      </w:r>
    </w:p>
    <w:p w14:paraId="02C9C96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19、网络动态竞价及加价幅度：</w:t>
      </w:r>
    </w:p>
    <w:p w14:paraId="45ADC0CC">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(1)网络动态竞价分为自由竞价和限时竞价两个阶段。自由竞价阶段的报价时间从2024-12-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开始至限时竞价阶段开始之前，限时竞价阶段的开始时间：2024-12-2</w:t>
      </w:r>
      <w:r>
        <w:rPr>
          <w:rFonts w:hint="eastAsia" w:ascii="仿宋_GB2312" w:hAnsi="Tahoma" w:eastAsia="仿宋_GB2312" w:cs="仿宋_GB2312"/>
          <w:i w:val="0"/>
          <w:iCs w:val="0"/>
          <w:sz w:val="24"/>
          <w:szCs w:val="24"/>
          <w:u w:val="none"/>
          <w:shd w:val="clear" w:fill="FFFFFF"/>
          <w:lang w:val="en-US" w:eastAsia="zh-CN"/>
        </w:rPr>
        <w:t>4</w:t>
      </w:r>
      <w:r>
        <w:rPr>
          <w:rFonts w:hint="default" w:ascii="仿宋_GB2312" w:hAnsi="Tahoma" w:eastAsia="仿宋_GB2312" w:cs="仿宋_GB2312"/>
          <w:i w:val="0"/>
          <w:iCs w:val="0"/>
          <w:sz w:val="24"/>
          <w:szCs w:val="24"/>
          <w:u w:val="none"/>
          <w:shd w:val="clear" w:fill="FFFFFF"/>
        </w:rPr>
        <w:t xml:space="preserve"> 10:30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p>
    <w:p w14:paraId="6F6D5245">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(2)加价幅度：100元/月或其整数倍；</w:t>
      </w:r>
    </w:p>
    <w:p w14:paraId="20D298EC">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(3)报价只要不低于挂牌价或按加价幅度加价的，即为有效报价；</w:t>
      </w:r>
    </w:p>
    <w:p w14:paraId="6A5CFD1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(4)本中心有权就竞价时间做出调整，如有调整将在本中心网站进行公告。</w:t>
      </w:r>
    </w:p>
    <w:p w14:paraId="4FC66383">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4E3391B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21、特别提示：</w:t>
      </w:r>
    </w:p>
    <w:p w14:paraId="1D78686B">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本公开招租项目《公开竞价文件》，包括但不限于《项目公告》、《泉州市产权交易中心网络竞价须知》、《网络竞价承诺函》、《合同范本》及根据《公开竞价文件》所发出的修改、补充、答疑、澄清等公告信息；</w:t>
      </w:r>
    </w:p>
    <w:p w14:paraId="392B4953">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本中心通过自身网站及相关媒体发布的项目信息并不构成本中心对任何项目的任何交易建议。意向人应不依赖于已披露的上述信息并自行对项目的相关情况〔含标的状况、是否按照建设工程规划许可证的规定建设、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6C4469AF">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(3)若竞租成功，标的将在《房屋租赁合同》签订之日起3日内移交，《房屋租赁合同》存在特殊约定的，以《房屋租赁合同》为准；</w:t>
      </w:r>
    </w:p>
    <w:p w14:paraId="5445C739">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本次公开竞价采用网络动态竞价方式确定承租方：各竞租人在规定的竞价时间内登录本中心网站竞价看板或权益云交易平台网站竞价大厅查找本项目标的点击进入报价现场进行报价，按价高者得的原则确定承租方。</w:t>
      </w:r>
    </w:p>
    <w:p w14:paraId="78598C02">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(5)消防验收情况：有；</w:t>
      </w:r>
    </w:p>
    <w:p w14:paraId="3A5E0F46">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(6)资产维护要求：严格落实“门前三包”制度；</w:t>
      </w:r>
    </w:p>
    <w:p w14:paraId="3AFCD523">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(7)特别约定事项：打印收费最高单项控制价（见附件2）。</w:t>
      </w:r>
    </w:p>
    <w:p w14:paraId="4B8D1D75">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22、竞租人应当具备的基本条件：</w:t>
      </w:r>
    </w:p>
    <w:p w14:paraId="3BDC37AE">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(1)合法存续的企、事业单位、其他组织或具有完全民事行为能力的自然人。</w:t>
      </w:r>
    </w:p>
    <w:p w14:paraId="1D25FFFF">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(2)失信被执行人（自然人、法人）不得参与本项目的竞价。</w:t>
      </w:r>
    </w:p>
    <w:p w14:paraId="1D242B39">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23、对承租方的主要要求：</w:t>
      </w:r>
    </w:p>
    <w:p w14:paraId="621E0595">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(1)具有良好的商业信用、财务状况、支付能力；</w:t>
      </w:r>
    </w:p>
    <w:p w14:paraId="49F4E586">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(2)承租方应于被确定为承租方之日起三个工作日内将交易服务费、第一期租金及履约保证金（押金）等款项汇达本中心指定账户，并办理成交手续；</w:t>
      </w:r>
    </w:p>
    <w:p w14:paraId="3792E738">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i w:val="0"/>
          <w:iCs w:val="0"/>
          <w:sz w:val="24"/>
          <w:szCs w:val="24"/>
          <w:u w:val="none"/>
          <w:shd w:val="clear" w:fill="FFFFFF"/>
        </w:rPr>
        <w:t>(3)成交手续办理方式：</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xml:space="preserve">　 　    ①现场办理: 承租方缴纳上述款项后携带付款凭证至本中心（丰泽区海星街100号东海大厦四楼450室）签署《竞价结果通知单》，本中心将在收到签章的《竞价结果通知单》及上述款项后当场发出《合同签订通知书》；    </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②电子签章：承租方缴纳上述款项后登录微信“权益云交易平台” 公众号，点击“我的--成交项目”，选择 “交易凭证电子签章”后按页面提示进行《竞价结果通知单》的签署(具体操作流程详见本中心网站首页的竞价图文指导)，在《竞价结果通知单》签章后系统自动发出《合同签订通知书》。《竞价结果通知单》和《合同签订通知书》可以在微信“权益云交易平台” 公众号中的“我的--成交项目”内查看或下载；</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w:t>
      </w:r>
      <w:r>
        <w:rPr>
          <w:rFonts w:hint="default" w:ascii="仿宋_GB2312" w:hAnsi="Tahoma" w:eastAsia="仿宋_GB2312" w:cs="仿宋_GB2312"/>
          <w:b/>
          <w:bCs/>
          <w:i w:val="0"/>
          <w:iCs w:val="0"/>
          <w:sz w:val="24"/>
          <w:szCs w:val="24"/>
          <w:u w:val="none"/>
          <w:shd w:val="clear" w:fill="FFFFFF"/>
        </w:rPr>
        <w:t>  （在使用前，承租方应当仔细阅读且完全理解电子签章系统相关的操作流程指导、隐私声明、数字证书申请及使用文件等内容，并严格按照系统指示进行操作，否则因此造成的后果，本中心概不负责。）</w:t>
      </w:r>
    </w:p>
    <w:p w14:paraId="26707C62">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承租方签署《竞价结果通知单》时，承租方与委托方之间的租赁合同即时成立并生效，承租方应于《合同签订通知书》发出之日起五个工作日内与委托方签订租赁合同，但该签订手续是否完成不影响租赁合同的成立并生效；</w:t>
      </w:r>
    </w:p>
    <w:p w14:paraId="3CAD4FBC">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(5)本中心在承租方签署《竞价结果通知单》的次日起三个工作日内将该公开招租项目的履约保证金（押金）及第一期租金等相关款项全额无息汇入委托方账户并出具交易凭证；</w:t>
      </w:r>
    </w:p>
    <w:p w14:paraId="2D57C5FB">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(6)不得将房屋转租、转借给他人；</w:t>
      </w:r>
    </w:p>
    <w:p w14:paraId="59F15FD1">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(7)认可《房屋租赁合同》约定的基本条款；</w:t>
      </w:r>
    </w:p>
    <w:p w14:paraId="3B4E1EC1">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(8)其他详见《房屋租赁合同》。</w:t>
      </w:r>
    </w:p>
    <w:p w14:paraId="0678967F">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24、意向竞租人报名时应提供的竞价材料：</w:t>
      </w:r>
    </w:p>
    <w:p w14:paraId="6BA499F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(1)营业执照、组织机构代码证等主体资格证明材料（自然人无需提供）；</w:t>
      </w:r>
    </w:p>
    <w:p w14:paraId="7A00442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(2)法定代表人、负责人或自然人身份证；</w:t>
      </w:r>
    </w:p>
    <w:p w14:paraId="0BA458EE">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(3)授权委托书（经意向竞租人签章原件）及受托人的身份证[注：如未委托他人无需提供（3）项材料]；</w:t>
      </w:r>
    </w:p>
    <w:p w14:paraId="5E09202F">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(4)交易保证金的缴款凭证；</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备注：以上材料提供复印件的均需加盖公章（企、事业单位）或签字（自然人）。</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有关单位或个人电签同意《公开竞价文件》的相关规定及承诺，在缴纳交易保证金后按规定在网上办理报名竞价手续、提交以上竞价材料的拍照件或扫描件，并通过审核后，即成为竞租人。</w:t>
      </w:r>
    </w:p>
    <w:p w14:paraId="5DFC96F8">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7DE8F8C3">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26、权益云交易平台网站表述与本《公开竞价文件》有出入之处，以本《公开竞价文件》为准。</w:t>
      </w:r>
    </w:p>
    <w:p w14:paraId="08BD368C">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27、若竞租标的不成交，则本公告自动延长，每次延长期限为3个工作日。</w:t>
      </w:r>
    </w:p>
    <w:p w14:paraId="1EA97FBA">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28、交易服务费：按照本中心的房产租赁收费标准向承租方收取交易服务费，最高为一个月租金。</w:t>
      </w:r>
    </w:p>
    <w:p w14:paraId="69F8169F">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29、报名联系人：吴先生   联系电话：0595-22189025、22819006  传真：0595-22189023本中心网站:www.qzcq0595.com  邮箱：whr@qzcq0595.com</w:t>
      </w:r>
    </w:p>
    <w:p w14:paraId="4EA399FC">
      <w:pPr>
        <w:pStyle w:val="21"/>
        <w:keepNext w:val="0"/>
        <w:keepLines w:val="0"/>
        <w:widowControl/>
        <w:suppressLineNumbers w:val="0"/>
        <w:spacing w:before="0" w:beforeAutospacing="0" w:after="0" w:afterAutospacing="0"/>
        <w:ind w:left="0" w:right="0" w:firstLine="560"/>
        <w:rPr>
          <w:u w:val="none"/>
        </w:rPr>
      </w:pPr>
      <w:bookmarkStart w:id="1" w:name="bottom"/>
      <w:bookmarkEnd w:id="1"/>
      <w:r>
        <w:rPr>
          <w:rFonts w:hint="default" w:ascii="仿宋_GB2312" w:hAnsi="Tahoma" w:eastAsia="仿宋_GB2312" w:cs="仿宋_GB2312"/>
          <w:i w:val="0"/>
          <w:iCs w:val="0"/>
          <w:sz w:val="24"/>
          <w:szCs w:val="24"/>
          <w:u w:val="none"/>
          <w:shd w:val="clear" w:fill="FFFFFF"/>
        </w:rPr>
        <w:t>30、接受投诉部门：泉州市产权交易中心综合部 联系电话：0595-22591811。</w:t>
      </w:r>
    </w:p>
    <w:p w14:paraId="69E1A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sz w:val="24"/>
          <w:szCs w:val="24"/>
          <w:u w:val="none"/>
        </w:rPr>
      </w:pPr>
      <w:r>
        <w:rPr>
          <w:rFonts w:hint="eastAsia" w:ascii="仿宋" w:hAnsi="仿宋" w:eastAsia="仿宋" w:cs="仿宋"/>
          <w:i w:val="0"/>
          <w:iCs w:val="0"/>
          <w:kern w:val="0"/>
          <w:sz w:val="24"/>
          <w:szCs w:val="24"/>
          <w:u w:val="none"/>
          <w:shd w:val="clear" w:fill="FFFFFF"/>
          <w:lang w:val="en-US" w:eastAsia="zh-CN" w:bidi="ar"/>
        </w:rPr>
        <w:t>泉州市产权交易中心</w:t>
      </w:r>
    </w:p>
    <w:p w14:paraId="419C0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r>
        <w:rPr>
          <w:rFonts w:hint="eastAsia" w:ascii="仿宋" w:hAnsi="仿宋" w:eastAsia="仿宋" w:cs="仿宋"/>
          <w:i w:val="0"/>
          <w:iCs w:val="0"/>
          <w:kern w:val="0"/>
          <w:sz w:val="27"/>
          <w:szCs w:val="27"/>
          <w:u w:val="none"/>
          <w:shd w:val="clear" w:fill="FFFFFF"/>
          <w:lang w:val="en-US" w:eastAsia="zh-CN" w:bidi="ar"/>
        </w:rPr>
        <w:t>2024-12-10</w:t>
      </w:r>
    </w:p>
    <w:p w14:paraId="25FCF4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p w14:paraId="35A12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p w14:paraId="23BF0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p w14:paraId="47411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4F0A7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78D3C7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64A18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399CA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4C416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41ED9C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19A09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3D7B1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60BDC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仿宋" w:hAnsi="仿宋" w:eastAsia="仿宋" w:cs="仿宋"/>
          <w:i w:val="0"/>
          <w:iCs w:val="0"/>
          <w:kern w:val="0"/>
          <w:sz w:val="27"/>
          <w:szCs w:val="27"/>
          <w:u w:val="none"/>
          <w:shd w:val="clear" w:fill="FFFFFF"/>
          <w:lang w:val="en-US" w:eastAsia="zh-CN" w:bidi="ar"/>
        </w:rPr>
      </w:pPr>
    </w:p>
    <w:p w14:paraId="1266F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p w14:paraId="0B948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仿宋" w:hAnsi="仿宋" w:eastAsia="仿宋" w:cs="仿宋"/>
          <w:i w:val="0"/>
          <w:iCs w:val="0"/>
          <w:kern w:val="0"/>
          <w:sz w:val="36"/>
          <w:szCs w:val="36"/>
          <w:u w:val="none"/>
          <w:shd w:val="clear" w:fill="FFFFFF"/>
          <w:lang w:val="en-US" w:eastAsia="zh-CN" w:bidi="ar"/>
        </w:rPr>
      </w:pPr>
      <w:r>
        <w:rPr>
          <w:rFonts w:hint="eastAsia" w:ascii="仿宋" w:hAnsi="仿宋" w:eastAsia="仿宋" w:cs="仿宋"/>
          <w:i w:val="0"/>
          <w:iCs w:val="0"/>
          <w:kern w:val="0"/>
          <w:sz w:val="36"/>
          <w:szCs w:val="36"/>
          <w:u w:val="none"/>
          <w:shd w:val="clear" w:fill="FFFFFF"/>
          <w:lang w:val="en-US" w:eastAsia="zh-CN" w:bidi="ar"/>
        </w:rPr>
        <w:t>附件1：</w:t>
      </w:r>
      <w:r>
        <w:rPr>
          <w:rFonts w:hint="eastAsia" w:ascii="仿宋" w:hAnsi="仿宋" w:eastAsia="仿宋" w:cs="仿宋"/>
          <w:kern w:val="0"/>
          <w:sz w:val="36"/>
          <w:szCs w:val="36"/>
          <w:u w:val="none"/>
          <w:shd w:val="clear" w:fill="FFFFFF"/>
          <w:lang w:val="en-US" w:eastAsia="zh-CN" w:bidi="ar"/>
        </w:rPr>
        <w:t>投放区域及数量</w:t>
      </w:r>
    </w:p>
    <w:p w14:paraId="2BE44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tbl>
      <w:tblPr>
        <w:tblStyle w:val="22"/>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6"/>
        <w:gridCol w:w="1512"/>
        <w:gridCol w:w="1006"/>
        <w:gridCol w:w="2381"/>
        <w:gridCol w:w="1583"/>
      </w:tblGrid>
      <w:tr w14:paraId="5E1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1E30">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楼  栋</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0D58">
            <w:pPr>
              <w:widowControl/>
              <w:spacing w:before="75" w:after="75" w:line="360" w:lineRule="auto"/>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投放数量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DBA2">
            <w:pPr>
              <w:widowControl/>
              <w:spacing w:before="75" w:after="75" w:line="360" w:lineRule="auto"/>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 位</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3B4C">
            <w:pPr>
              <w:widowControl/>
              <w:spacing w:before="75" w:after="75" w:line="360"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场地面积/平米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E3DA">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安装位置</w:t>
            </w:r>
          </w:p>
        </w:tc>
      </w:tr>
      <w:tr w14:paraId="3360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2EC">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 求实楼</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A851">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03A8">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13E6">
            <w:pPr>
              <w:widowControl/>
              <w:spacing w:before="75" w:after="75" w:line="360" w:lineRule="auto"/>
              <w:jc w:val="center"/>
              <w:rPr>
                <w:rFonts w:hint="default"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8FA">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2F5A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2AA5">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2#求真楼</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977">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5604">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7C1D">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DF4">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6D3A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01BA">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5#知行楼</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85DF">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2D54">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B6A">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8B62">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3578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5E74">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8#至善楼</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0B21">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8383">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37F">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ED1F">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5344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217">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9#济世楼</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CBED">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B3B2">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2895">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1592">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4CCF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0A1C">
            <w:pPr>
              <w:widowControl/>
              <w:spacing w:before="75" w:after="75" w:line="360" w:lineRule="auto"/>
              <w:ind w:firstLine="300" w:firstLine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11#图书馆</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C93F">
            <w:pPr>
              <w:widowControl/>
              <w:spacing w:before="75" w:after="75" w:line="360" w:lineRule="auto"/>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76F9">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55D6">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2035">
            <w:pPr>
              <w:widowControl/>
              <w:spacing w:before="75" w:after="75" w:line="360" w:lineRule="auto"/>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6D58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9058">
            <w:pPr>
              <w:widowControl/>
              <w:spacing w:before="75" w:after="75" w:line="360" w:lineRule="auto"/>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13#精诚苑B栋</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8C97">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32CE">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9EC">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37D7">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2087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050F">
            <w:pPr>
              <w:widowControl/>
              <w:spacing w:before="75" w:after="75" w:line="360" w:lineRule="auto"/>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15#精诚苑D栋</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038F">
            <w:pPr>
              <w:widowControl/>
              <w:spacing w:before="75" w:after="75" w:line="360" w:lineRule="auto"/>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1B60">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9FE">
            <w:pPr>
              <w:widowControl/>
              <w:spacing w:before="75" w:after="75" w:line="360" w:lineRule="auto"/>
              <w:jc w:val="center"/>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9B85">
            <w:pPr>
              <w:widowControl/>
              <w:spacing w:before="75" w:after="75"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1楼大厅</w:t>
            </w:r>
          </w:p>
        </w:tc>
      </w:tr>
      <w:tr w14:paraId="12F4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766">
            <w:pPr>
              <w:widowControl/>
              <w:spacing w:before="75" w:after="75" w:line="360" w:lineRule="auto"/>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合计</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E4B2">
            <w:pPr>
              <w:widowControl/>
              <w:spacing w:before="75" w:after="75" w:line="360" w:lineRule="auto"/>
              <w:ind w:firstLine="900" w:firstLineChars="3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8台</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90DE">
            <w:pPr>
              <w:widowControl/>
              <w:spacing w:before="75" w:after="75" w:line="360" w:lineRule="auto"/>
              <w:ind w:firstLine="1200" w:firstLineChars="4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8平方米</w:t>
            </w:r>
          </w:p>
        </w:tc>
      </w:tr>
    </w:tbl>
    <w:p w14:paraId="47BFB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kern w:val="0"/>
          <w:sz w:val="27"/>
          <w:szCs w:val="27"/>
          <w:u w:val="none"/>
          <w:shd w:val="clear" w:fill="FFFFFF"/>
          <w:lang w:val="en-US" w:eastAsia="zh-CN" w:bidi="ar"/>
        </w:rPr>
      </w:pPr>
    </w:p>
    <w:p w14:paraId="3E06ECEB">
      <w:pPr>
        <w:rPr>
          <w:rFonts w:hint="eastAsia"/>
          <w:u w:val="none"/>
        </w:rPr>
      </w:pPr>
    </w:p>
    <w:p w14:paraId="3F0BFF69">
      <w:pPr>
        <w:rPr>
          <w:rFonts w:hint="eastAsia"/>
          <w:u w:val="none"/>
        </w:rPr>
      </w:pPr>
    </w:p>
    <w:p w14:paraId="634742D5">
      <w:pPr>
        <w:rPr>
          <w:rFonts w:hint="eastAsia"/>
          <w:u w:val="none"/>
        </w:rPr>
      </w:pPr>
    </w:p>
    <w:p w14:paraId="66C6FE6C">
      <w:pPr>
        <w:rPr>
          <w:rFonts w:hint="eastAsia"/>
          <w:u w:val="none"/>
        </w:rPr>
      </w:pPr>
    </w:p>
    <w:p w14:paraId="049D25E7">
      <w:pPr>
        <w:rPr>
          <w:rFonts w:hint="eastAsia"/>
          <w:u w:val="none"/>
        </w:rPr>
      </w:pPr>
    </w:p>
    <w:p w14:paraId="41DCCA11">
      <w:pPr>
        <w:rPr>
          <w:rFonts w:hint="eastAsia"/>
          <w:u w:val="none"/>
        </w:rPr>
      </w:pPr>
    </w:p>
    <w:p w14:paraId="6FDE5D05">
      <w:pPr>
        <w:rPr>
          <w:rFonts w:hint="eastAsia"/>
          <w:u w:val="none"/>
        </w:rPr>
      </w:pPr>
    </w:p>
    <w:p w14:paraId="2866D629">
      <w:pPr>
        <w:rPr>
          <w:rFonts w:hint="eastAsia"/>
          <w:u w:val="none"/>
        </w:rPr>
      </w:pPr>
    </w:p>
    <w:p w14:paraId="5929C402">
      <w:pPr>
        <w:rPr>
          <w:rFonts w:hint="eastAsia"/>
          <w:u w:val="none"/>
        </w:rPr>
      </w:pPr>
    </w:p>
    <w:p w14:paraId="48F89285">
      <w:pPr>
        <w:rPr>
          <w:rFonts w:hint="eastAsia"/>
          <w:u w:val="none"/>
        </w:rPr>
      </w:pPr>
    </w:p>
    <w:p w14:paraId="283AF4CD">
      <w:pPr>
        <w:rPr>
          <w:rFonts w:hint="eastAsia"/>
          <w:u w:val="none"/>
        </w:rPr>
      </w:pPr>
    </w:p>
    <w:p w14:paraId="22130301">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r>
        <w:rPr>
          <w:rFonts w:hint="eastAsia" w:ascii="仿宋" w:hAnsi="仿宋" w:eastAsia="仿宋" w:cs="仿宋"/>
          <w:kern w:val="0"/>
          <w:sz w:val="36"/>
          <w:szCs w:val="36"/>
          <w:u w:val="none"/>
          <w:shd w:val="clear" w:fill="FFFFFF"/>
          <w:lang w:bidi="ar"/>
        </w:rPr>
        <w:t>附件</w:t>
      </w:r>
      <w:r>
        <w:rPr>
          <w:rFonts w:hint="eastAsia" w:ascii="仿宋" w:hAnsi="仿宋" w:eastAsia="仿宋" w:cs="仿宋"/>
          <w:kern w:val="0"/>
          <w:sz w:val="36"/>
          <w:szCs w:val="36"/>
          <w:u w:val="none"/>
          <w:shd w:val="clear" w:fill="FFFFFF"/>
          <w:lang w:val="en-US" w:eastAsia="zh-CN" w:bidi="ar"/>
        </w:rPr>
        <w:t>2</w:t>
      </w:r>
      <w:r>
        <w:rPr>
          <w:rFonts w:hint="eastAsia" w:ascii="仿宋" w:hAnsi="仿宋" w:eastAsia="仿宋" w:cs="仿宋"/>
          <w:kern w:val="0"/>
          <w:sz w:val="36"/>
          <w:szCs w:val="36"/>
          <w:u w:val="none"/>
          <w:shd w:val="clear" w:fill="FFFFFF"/>
          <w:lang w:bidi="ar"/>
        </w:rPr>
        <w:t>：打印收费最高单项控制价价格表</w:t>
      </w:r>
    </w:p>
    <w:p w14:paraId="5E0D6D1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tbl>
      <w:tblPr>
        <w:tblStyle w:val="22"/>
        <w:tblW w:w="8522" w:type="dxa"/>
        <w:tblInd w:w="93" w:type="dxa"/>
        <w:tblLayout w:type="fixed"/>
        <w:tblCellMar>
          <w:top w:w="0" w:type="dxa"/>
          <w:left w:w="108" w:type="dxa"/>
          <w:bottom w:w="0" w:type="dxa"/>
          <w:right w:w="108" w:type="dxa"/>
        </w:tblCellMar>
      </w:tblPr>
      <w:tblGrid>
        <w:gridCol w:w="1065"/>
        <w:gridCol w:w="4984"/>
        <w:gridCol w:w="2473"/>
      </w:tblGrid>
      <w:tr w14:paraId="7706EEEF">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162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序号</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D3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类型</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2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单价（元）</w:t>
            </w:r>
          </w:p>
        </w:tc>
      </w:tr>
      <w:tr w14:paraId="72B3B692">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E87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1</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A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70gA4黑白单面打印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AA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0.2元/张（70克纸）</w:t>
            </w:r>
          </w:p>
        </w:tc>
      </w:tr>
      <w:tr w14:paraId="6218EA4C">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153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2</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20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70gA4黑白双面打印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92A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0.3元/张（70克纸）</w:t>
            </w:r>
          </w:p>
        </w:tc>
      </w:tr>
      <w:tr w14:paraId="50E2E170">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7D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3</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34E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70gA4彩色单面打印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0B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1元/张（70克纸）</w:t>
            </w:r>
          </w:p>
        </w:tc>
      </w:tr>
      <w:tr w14:paraId="6728CC2F">
        <w:tblPrEx>
          <w:tblCellMar>
            <w:top w:w="0" w:type="dxa"/>
            <w:left w:w="108" w:type="dxa"/>
            <w:bottom w:w="0" w:type="dxa"/>
            <w:right w:w="108" w:type="dxa"/>
          </w:tblCellMar>
        </w:tblPrEx>
        <w:trPr>
          <w:trHeight w:val="9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A8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4</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F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70gA4彩色双面打印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96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1.5元/张（70克纸）</w:t>
            </w:r>
          </w:p>
        </w:tc>
      </w:tr>
      <w:tr w14:paraId="7EDE1F48">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482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5</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1D5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1寸证件照</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8B9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8元/张（9小张1版）</w:t>
            </w:r>
          </w:p>
        </w:tc>
      </w:tr>
      <w:tr w14:paraId="6625B236">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8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6</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F46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2寸证件照</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85F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8元/张（4小张1版）</w:t>
            </w:r>
          </w:p>
        </w:tc>
      </w:tr>
      <w:tr w14:paraId="7592ABB8">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AF7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7</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956">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6寸生活照</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FA7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3元/张</w:t>
            </w:r>
          </w:p>
        </w:tc>
      </w:tr>
      <w:tr w14:paraId="54185379">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43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8</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9EA">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普通文件复印（黑白）</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5EC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0.5元/张（70克纸）</w:t>
            </w:r>
          </w:p>
        </w:tc>
      </w:tr>
      <w:tr w14:paraId="6153B356">
        <w:tblPrEx>
          <w:tblCellMar>
            <w:top w:w="0" w:type="dxa"/>
            <w:left w:w="108" w:type="dxa"/>
            <w:bottom w:w="0" w:type="dxa"/>
            <w:right w:w="108" w:type="dxa"/>
          </w:tblCellMar>
        </w:tblPrEx>
        <w:trPr>
          <w:trHeight w:val="59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876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9</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7841">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普通文件复印（彩色）</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223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1元/张（70克纸）</w:t>
            </w:r>
          </w:p>
        </w:tc>
      </w:tr>
      <w:tr w14:paraId="6C404F28">
        <w:tblPrEx>
          <w:tblCellMar>
            <w:top w:w="0" w:type="dxa"/>
            <w:left w:w="108" w:type="dxa"/>
            <w:bottom w:w="0" w:type="dxa"/>
            <w:right w:w="108" w:type="dxa"/>
          </w:tblCellMar>
        </w:tblPrEx>
        <w:trPr>
          <w:trHeight w:val="62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8C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10</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C03">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证件类复印（黑白）</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78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0.5元/张（70克纸）</w:t>
            </w:r>
          </w:p>
        </w:tc>
      </w:tr>
      <w:tr w14:paraId="24CC74CF">
        <w:tblPrEx>
          <w:tblCellMar>
            <w:top w:w="0" w:type="dxa"/>
            <w:left w:w="108" w:type="dxa"/>
            <w:bottom w:w="0" w:type="dxa"/>
            <w:right w:w="108" w:type="dxa"/>
          </w:tblCellMar>
        </w:tblPrEx>
        <w:trPr>
          <w:trHeight w:val="62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F83">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7FD">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证件类复印（彩色）</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E04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1元/张（70克纸）</w:t>
            </w:r>
          </w:p>
        </w:tc>
      </w:tr>
    </w:tbl>
    <w:p w14:paraId="4067FE23">
      <w:pPr>
        <w:pStyle w:val="21"/>
        <w:widowControl/>
        <w:spacing w:line="560" w:lineRule="exact"/>
        <w:ind w:firstLine="600" w:firstLineChars="200"/>
        <w:outlineLvl w:val="1"/>
        <w:rPr>
          <w:rFonts w:ascii="仿宋" w:hAnsi="仿宋" w:eastAsia="仿宋" w:cs="仿宋"/>
          <w:sz w:val="30"/>
          <w:szCs w:val="30"/>
        </w:rPr>
      </w:pPr>
      <w:r>
        <w:rPr>
          <w:rFonts w:hint="eastAsia" w:ascii="仿宋" w:hAnsi="仿宋" w:eastAsia="仿宋" w:cs="仿宋"/>
          <w:sz w:val="30"/>
          <w:szCs w:val="30"/>
        </w:rPr>
        <w:t>备注：同材质、同规格的物料价格不得高于最高单项控制价价格表的收费标准。</w:t>
      </w:r>
    </w:p>
    <w:p w14:paraId="7CA8879C">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683951EB">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402C884B">
      <w:pPr>
        <w:adjustRightInd w:val="0"/>
        <w:snapToGrid w:val="0"/>
        <w:jc w:val="center"/>
        <w:outlineLvl w:val="0"/>
        <w:rPr>
          <w:rFonts w:asciiTheme="majorEastAsia" w:hAnsiTheme="majorEastAsia" w:eastAsiaTheme="majorEastAsia"/>
          <w:b/>
          <w:spacing w:val="2"/>
          <w:kern w:val="0"/>
          <w:sz w:val="44"/>
          <w:szCs w:val="44"/>
        </w:rPr>
      </w:pPr>
      <w:bookmarkStart w:id="2" w:name="_Toc25824621"/>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2"/>
    </w:p>
    <w:p w14:paraId="091D7E5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方式组织竞价，按价高者得的原则确定承租方。现发布网络竞价须知如下：</w:t>
      </w:r>
    </w:p>
    <w:p w14:paraId="10484BE5">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235916F4">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二、意向竞租人可登录本中心网站(www.qzcq0595.com)或权益云交易平台网站(</w:t>
      </w:r>
      <w:r>
        <w:rPr>
          <w:rFonts w:ascii="仿宋_GB2312" w:eastAsia="仿宋_GB2312"/>
          <w:sz w:val="28"/>
          <w:szCs w:val="28"/>
        </w:rPr>
        <w:t>www.unibid.cn</w:t>
      </w:r>
      <w:r>
        <w:rPr>
          <w:rFonts w:hint="eastAsia" w:ascii="仿宋_GB2312" w:eastAsia="仿宋_GB2312"/>
          <w:sz w:val="28"/>
          <w:szCs w:val="28"/>
        </w:rPr>
        <w:t>)免费用户注册（申请权益云账号），凭已申请的权益云账号在本中心网站竞价看板 或权益云交易平台网站竞价大厅内查找竞租项目并自行办理网上报名手续。</w:t>
      </w:r>
    </w:p>
    <w:p w14:paraId="492CAB99">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62F45032">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695C5D2F">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竞价结果通知单》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而未能成为竞租人，本中心将在收到意向竞租人《交易保证金退还申请书》之日起3个工作日内或确定承租方次日起 3 个工作日内将其交易保证金按原汇入渠道无息退还。</w:t>
      </w:r>
    </w:p>
    <w:p w14:paraId="024D527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416367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四、网络动态竞价规则：本次网络动态竞价过程由自由竞价阶段和限时竞价阶段组成。各竞租人在正式竞价前，应当通过本中心网站首页认真阅读竞价指导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rPr>
        <w:t>系统按照价格优先、时间优先的规则确定最高报价者。</w:t>
      </w:r>
    </w:p>
    <w:p w14:paraId="75B4852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3584158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79D7C479">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7D7DFE6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五、网络动态竞价流程如下：</w:t>
      </w:r>
    </w:p>
    <w:p w14:paraId="2DD9C1C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1、意向竞租人在报名前登录本中心网站（网址1）或权益云交易平台网站（网址2）免费用户注册。</w:t>
      </w:r>
    </w:p>
    <w:p w14:paraId="15E8CA1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2、意向竞租人登录本中心网站（网址1）竞价看板或权益云交易平台网站（网址2）竞价大厅选择本公开招租项目，点击“申请竞价”。</w:t>
      </w:r>
    </w:p>
    <w:p w14:paraId="30A0800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369CA82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705D0789">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网址1）竞价看板或权益云交易平台网站（网址2）竞价大厅选择本公开招租项目点击进入报价现场进行报价或进入用户中心，点击“我的交易”中的“参与报价”进行报价。</w:t>
      </w:r>
    </w:p>
    <w:p w14:paraId="2F40A234">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网址</w:t>
      </w:r>
      <w:r>
        <w:rPr>
          <w:rFonts w:ascii="仿宋_GB2312" w:eastAsia="仿宋_GB2312"/>
          <w:sz w:val="28"/>
          <w:szCs w:val="28"/>
        </w:rPr>
        <w:t>1：www.qzcq0595.com</w:t>
      </w:r>
    </w:p>
    <w:p w14:paraId="680BA57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网址</w:t>
      </w:r>
      <w:r>
        <w:rPr>
          <w:rFonts w:ascii="仿宋_GB2312" w:eastAsia="仿宋_GB2312"/>
          <w:sz w:val="28"/>
          <w:szCs w:val="28"/>
        </w:rPr>
        <w:t>2：www.unibid.cn</w:t>
      </w:r>
    </w:p>
    <w:p w14:paraId="7CDA2DC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w:t>
      </w:r>
      <w:r>
        <w:rPr>
          <w:rFonts w:ascii="仿宋_GB2312" w:eastAsia="仿宋_GB2312"/>
          <w:sz w:val="28"/>
          <w:szCs w:val="28"/>
        </w:rPr>
        <w:t>承租方的确定：</w:t>
      </w:r>
    </w:p>
    <w:p w14:paraId="1BCB8D7E">
      <w:pPr>
        <w:adjustRightInd w:val="0"/>
        <w:snapToGrid w:val="0"/>
        <w:spacing w:line="264"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即确定承租方。</w:t>
      </w:r>
    </w:p>
    <w:p w14:paraId="11B1A74D">
      <w:pPr>
        <w:adjustRightInd w:val="0"/>
        <w:snapToGrid w:val="0"/>
        <w:spacing w:line="264" w:lineRule="auto"/>
        <w:ind w:firstLine="562" w:firstLineChars="200"/>
        <w:rPr>
          <w:rFonts w:ascii="仿宋_GB2312" w:eastAsia="仿宋_GB2312"/>
          <w:b/>
          <w:color w:val="000000" w:themeColor="text1"/>
          <w:sz w:val="28"/>
          <w:szCs w:val="28"/>
        </w:rPr>
      </w:pPr>
      <w:r>
        <w:rPr>
          <w:rFonts w:hint="eastAsia" w:ascii="仿宋_GB2312" w:eastAsia="仿宋_GB2312"/>
          <w:b/>
          <w:sz w:val="28"/>
          <w:szCs w:val="28"/>
        </w:rPr>
        <w:t>2、若已确定的承租方被取消竞得资格而递补确定新的承租方的，则本中心在征得委托方书面同意后，可根据委托方的要求按照各竞租人最终报价排名（即报价结束后，对每个竞租人的最高报价进行排名），以各竞租人的最高报价从高到低依次递补确定承租方。递补的竞租人在收到本中心通知（本中心发出的通知若通过电子邮件发送的，自发出之日起第3日视为已经收到并了解通知内容，送达完成；若以快递或者挂号信形式寄送的，自发出之日起第5日视为已经收到并了解通知内容，送达完成）时即确定为承租方。</w:t>
      </w:r>
    </w:p>
    <w:p w14:paraId="1131407C">
      <w:pPr>
        <w:pStyle w:val="21"/>
        <w:adjustRightInd w:val="0"/>
        <w:snapToGrid w:val="0"/>
        <w:spacing w:before="0" w:beforeAutospacing="0" w:after="0" w:afterAutospacing="0"/>
        <w:ind w:firstLine="580"/>
        <w:rPr>
          <w:rFonts w:ascii="仿宋_GB2312" w:eastAsia="仿宋_GB2312"/>
          <w:sz w:val="28"/>
          <w:szCs w:val="28"/>
        </w:rPr>
      </w:pPr>
      <w:r>
        <w:rPr>
          <w:rFonts w:hint="eastAsia" w:ascii="仿宋_GB2312" w:eastAsia="仿宋_GB2312"/>
          <w:sz w:val="28"/>
          <w:szCs w:val="28"/>
        </w:rPr>
        <w:t>七、竞价成交后，承租方应按《公开竞价文件》的要求在规定的时间内将交易服务费、履约保证金（押金）及第一期租金等相关款项汇达本中心指定账户并办理成交手续；</w:t>
      </w:r>
    </w:p>
    <w:p w14:paraId="41002C4F">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1、成交手续办理方式：</w:t>
      </w:r>
    </w:p>
    <w:p w14:paraId="38D33C43">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承租方缴纳上述款项后携带付款凭证至本中心（丰泽区海星街100号东海大厦四楼450室）签署《竞价结果通知单》，本中心将在收到签章的《竞价结果通知单》及上述款项后当场发出《合同签订通知书》；</w:t>
      </w:r>
    </w:p>
    <w:p w14:paraId="03CAD419">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（2）电子签章：承租方缴纳上述款项后登录微信“权益云交易平台”公众号，点击“我的--成交项目”，选择“交易凭证电子签章”后按页面提示进行《竞价结果通知单》的签署(</w:t>
      </w:r>
      <w:r>
        <w:rPr>
          <w:rFonts w:hint="eastAsia" w:ascii="仿宋_GB2312" w:eastAsia="仿宋_GB2312"/>
          <w:b/>
          <w:sz w:val="28"/>
          <w:szCs w:val="28"/>
        </w:rPr>
        <w:t>具体操作流程详见本中心网站首页的竞价图文指导</w:t>
      </w:r>
      <w:r>
        <w:rPr>
          <w:rFonts w:hint="eastAsia" w:ascii="仿宋_GB2312" w:eastAsia="仿宋_GB2312"/>
          <w:sz w:val="28"/>
          <w:szCs w:val="28"/>
        </w:rPr>
        <w:t>)，在《竞价结果通知单》签章后系统自动发出《合同签订通知书》。《竞价结果通知单》和《合同签订通知书》可以在微信“权益云交易平台”公众号中的“我的--成交项目”内查看或下载；</w:t>
      </w:r>
    </w:p>
    <w:p w14:paraId="4766928D">
      <w:pPr>
        <w:pStyle w:val="21"/>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（在使用前，承租方应当仔细阅读且完全同意电子签章系统相关的操作流程指导、隐私声明、数字证书申请及使用文件等内容，并严格按照系统指示进行操作，否则因此造成的后果，本中心概不负责。）</w:t>
      </w:r>
    </w:p>
    <w:p w14:paraId="23A07952">
      <w:pPr>
        <w:adjustRightInd w:val="0"/>
        <w:snapToGrid w:val="0"/>
        <w:spacing w:line="264" w:lineRule="auto"/>
        <w:ind w:left="1"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2、承租方签署《竞价结果通知单》时，承租方与委托方之间的租赁合同即时成立并生效，承租方应于《合同签订通知书》发出之日起五个工作日内与委托方签订租赁合同，但该签订手续是否完成不影响租赁合同的成立并生效</w:t>
      </w:r>
      <w:r>
        <w:rPr>
          <w:rFonts w:hint="eastAsia" w:ascii="仿宋_GB2312" w:hAnsi="宋体" w:eastAsia="仿宋_GB2312" w:cs="宋体"/>
          <w:b/>
          <w:kern w:val="0"/>
          <w:sz w:val="28"/>
          <w:szCs w:val="28"/>
        </w:rPr>
        <w:t>。</w:t>
      </w:r>
    </w:p>
    <w:p w14:paraId="76E777BA">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八</w:t>
      </w:r>
      <w:r>
        <w:rPr>
          <w:rFonts w:ascii="仿宋_GB2312" w:eastAsia="仿宋_GB2312"/>
          <w:sz w:val="28"/>
          <w:szCs w:val="28"/>
        </w:rPr>
        <w:t>、</w:t>
      </w:r>
      <w:r>
        <w:rPr>
          <w:rFonts w:hint="eastAsia" w:ascii="仿宋_GB2312" w:eastAsia="仿宋_GB2312"/>
          <w:sz w:val="28"/>
          <w:szCs w:val="28"/>
        </w:rPr>
        <w:t>本中心在承租方签署《竞价结果通知单》的次日起三个工作日内将本公开招租项目的履约保证金（押金）及第一期租金等相关款项全额无息汇入委托方账户并开具交易凭证，至此本项目的竞价活动全部完结，本中心对本项目提供的竞价活动服务至此结束。</w:t>
      </w:r>
    </w:p>
    <w:p w14:paraId="586AF80B">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九、其他规定事项：</w:t>
      </w:r>
    </w:p>
    <w:p w14:paraId="38C647CD">
      <w:pPr>
        <w:adjustRightInd w:val="0"/>
        <w:snapToGrid w:val="0"/>
        <w:spacing w:line="264" w:lineRule="auto"/>
        <w:ind w:right="61" w:firstLine="560" w:firstLineChars="200"/>
        <w:rPr>
          <w:rFonts w:ascii="仿宋_GB2312" w:eastAsia="仿宋_GB2312"/>
          <w:b/>
          <w:sz w:val="28"/>
          <w:szCs w:val="28"/>
        </w:rPr>
      </w:pPr>
      <w:r>
        <w:rPr>
          <w:rFonts w:ascii="仿宋_GB2312" w:eastAsia="仿宋_GB2312"/>
          <w:sz w:val="28"/>
          <w:szCs w:val="28"/>
        </w:rPr>
        <w:t>1、竞价成交后，本中心除向承租方提供《竞价结果通知单》、《合同签订通知书》、《</w:t>
      </w:r>
      <w:r>
        <w:rPr>
          <w:rFonts w:hint="eastAsia" w:ascii="仿宋_GB2312" w:eastAsia="仿宋_GB2312"/>
          <w:sz w:val="28"/>
          <w:szCs w:val="28"/>
        </w:rPr>
        <w:t>交易凭证</w:t>
      </w:r>
      <w:r>
        <w:rPr>
          <w:rFonts w:ascii="仿宋_GB2312" w:eastAsia="仿宋_GB2312"/>
          <w:sz w:val="28"/>
          <w:szCs w:val="28"/>
        </w:rPr>
        <w:t>》、交易服务费发票外，不再提供</w:t>
      </w:r>
      <w:r>
        <w:rPr>
          <w:rFonts w:hint="eastAsia" w:ascii="仿宋_GB2312" w:eastAsia="仿宋_GB2312"/>
          <w:sz w:val="28"/>
          <w:szCs w:val="28"/>
        </w:rPr>
        <w:t>其他</w:t>
      </w:r>
      <w:r>
        <w:rPr>
          <w:rFonts w:ascii="仿宋_GB2312" w:eastAsia="仿宋_GB2312"/>
          <w:sz w:val="28"/>
          <w:szCs w:val="28"/>
        </w:rPr>
        <w:t>有关标的其他材料。</w:t>
      </w:r>
    </w:p>
    <w:p w14:paraId="57E4E96E">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sz w:val="28"/>
          <w:szCs w:val="28"/>
        </w:rPr>
        <w:t>2、若发生承租方被取消承租资格的，则本中心在征得项目委托方的书面同意后，可按照各竞租人最终报价排名（即报价结束后，对每个竞租人的最高报价进行排名），以各竞租人的最高报价从高到低依次递补确定承租方或者收回竞价标的重新组织竞价。</w:t>
      </w:r>
    </w:p>
    <w:p w14:paraId="56DEC287">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视为提供虚假文件及资料，交易保证金不予返还，并承担由此产生的相关法律责任。</w:t>
      </w:r>
      <w:r>
        <w:rPr>
          <w:rFonts w:ascii="仿宋_GB2312" w:eastAsia="仿宋_GB2312"/>
          <w:sz w:val="28"/>
          <w:szCs w:val="28"/>
        </w:rPr>
        <w:br w:type="textWrapping"/>
      </w:r>
      <w:r>
        <w:rPr>
          <w:rFonts w:hint="eastAsia" w:ascii="仿宋_GB2312" w:eastAsia="仿宋_GB2312"/>
          <w:sz w:val="28"/>
          <w:szCs w:val="28"/>
        </w:rPr>
        <w:t xml:space="preserve">    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77FEB206">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sz w:val="28"/>
          <w:szCs w:val="28"/>
        </w:rPr>
        <w:t>5、</w:t>
      </w:r>
      <w:r>
        <w:rPr>
          <w:rFonts w:hint="eastAsia" w:ascii="仿宋" w:hAnsi="仿宋" w:eastAsia="仿宋"/>
          <w:b/>
          <w:bCs/>
          <w:sz w:val="28"/>
          <w:szCs w:val="28"/>
        </w:rPr>
        <w:t>成交手续办理后</w:t>
      </w:r>
      <w:r>
        <w:rPr>
          <w:rFonts w:hint="eastAsia" w:ascii="仿宋_GB2312" w:eastAsia="仿宋_GB2312"/>
          <w:b/>
          <w:sz w:val="28"/>
          <w:szCs w:val="28"/>
        </w:rPr>
        <w:t>，本中心将《竞价结果通知单》发送到承租方的竞价账号后，承租方就本次合同的订立及履行过程中与委托方发生的争议，应自行协商解决或通过法律途径解决，与本中心无关。如承租方无故将本中心列为讼争当事人的，因此给本中心造成损失的（包括但不限于本中心因应诉所产生的律师费用、差旅费等），本中心将依法追究承租方的赔偿责任。</w:t>
      </w:r>
    </w:p>
    <w:p w14:paraId="688968C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十、本《泉州市产权交易中心网络竞价须知》解释权和修订权属于泉州市产权交易中心有限公司。</w:t>
      </w:r>
    </w:p>
    <w:p w14:paraId="46A73AC6">
      <w:pPr>
        <w:pStyle w:val="2"/>
        <w:jc w:val="center"/>
        <w:rPr>
          <w:rFonts w:asciiTheme="majorEastAsia" w:hAnsiTheme="majorEastAsia" w:eastAsiaTheme="majorEastAsia"/>
          <w:spacing w:val="74"/>
          <w:sz w:val="44"/>
          <w:szCs w:val="44"/>
          <w:lang w:eastAsia="zh-CN"/>
        </w:rPr>
      </w:pPr>
      <w:bookmarkStart w:id="3" w:name="_Toc25824622"/>
    </w:p>
    <w:p w14:paraId="1E0693E5">
      <w:pPr>
        <w:pStyle w:val="2"/>
        <w:jc w:val="center"/>
        <w:rPr>
          <w:rFonts w:asciiTheme="majorEastAsia" w:hAnsiTheme="majorEastAsia" w:eastAsiaTheme="majorEastAsia"/>
          <w:spacing w:val="74"/>
          <w:sz w:val="44"/>
          <w:szCs w:val="44"/>
          <w:lang w:eastAsia="zh-CN"/>
        </w:rPr>
      </w:pPr>
    </w:p>
    <w:p w14:paraId="6B51944A">
      <w:pPr>
        <w:pStyle w:val="2"/>
        <w:jc w:val="center"/>
        <w:rPr>
          <w:rFonts w:asciiTheme="majorEastAsia" w:hAnsiTheme="majorEastAsia" w:eastAsiaTheme="majorEastAsia"/>
          <w:spacing w:val="74"/>
          <w:sz w:val="44"/>
          <w:szCs w:val="44"/>
          <w:lang w:eastAsia="zh-CN"/>
        </w:rPr>
      </w:pPr>
    </w:p>
    <w:p w14:paraId="2D94825C">
      <w:pPr>
        <w:pStyle w:val="2"/>
        <w:jc w:val="center"/>
        <w:rPr>
          <w:rFonts w:asciiTheme="majorEastAsia" w:hAnsiTheme="majorEastAsia" w:eastAsiaTheme="majorEastAsia"/>
          <w:b w:val="0"/>
          <w:sz w:val="44"/>
          <w:szCs w:val="44"/>
        </w:rPr>
      </w:pPr>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3"/>
    </w:p>
    <w:p w14:paraId="01BE942D">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27562532">
      <w:pPr>
        <w:adjustRightInd w:val="0"/>
        <w:snapToGrid w:val="0"/>
        <w:ind w:right="61" w:firstLine="560" w:firstLineChars="200"/>
        <w:rPr>
          <w:rFonts w:ascii="仿宋_GB2312" w:eastAsia="仿宋_GB2312"/>
          <w:sz w:val="28"/>
          <w:szCs w:val="28"/>
        </w:rPr>
      </w:pPr>
    </w:p>
    <w:p w14:paraId="0D53402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4D12950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sz w:val="28"/>
          <w:szCs w:val="28"/>
        </w:rPr>
        <w:t>承诺人一旦报名参与竞价即表示同意按照《公开竞价文件》中制定的规则、流程等相关规定参与竞价、行使优先权并已完全知晓本项目在“泉州市产权交易中心官方网站”（网址：</w:t>
      </w:r>
      <w:r>
        <w:fldChar w:fldCharType="begin"/>
      </w:r>
      <w:r>
        <w:instrText xml:space="preserve"> HYPERLINK "http://www.qzcq0595.com，下同）上的公告及其他相关信息，对本项目标的进行了全面了解，对标的存在的瑕疵及可能出现的瑕疵进行了认真审查并愿意无条件接受该瑕疵，并同意按照《公开竞价文件》中制定的规则、流程等相关规定参与竞价、行使优先权。承诺人在此不可撤销地放弃因本项目标的瑕疵而向贵中心提出任何异议或索赔的权利。" </w:instrText>
      </w:r>
      <w:r>
        <w:fldChar w:fldCharType="separate"/>
      </w:r>
      <w:r>
        <w:rPr>
          <w:rFonts w:hint="eastAsia" w:ascii="仿宋_GB2312" w:eastAsia="仿宋_GB2312"/>
          <w:b/>
          <w:sz w:val="28"/>
          <w:szCs w:val="28"/>
        </w:rPr>
        <w:t>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r>
        <w:rPr>
          <w:rFonts w:hint="eastAsia" w:ascii="仿宋_GB2312" w:eastAsia="仿宋_GB2312"/>
          <w:b/>
          <w:sz w:val="28"/>
          <w:szCs w:val="28"/>
        </w:rPr>
        <w:fldChar w:fldCharType="end"/>
      </w:r>
    </w:p>
    <w:p w14:paraId="027933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75A0046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7E3083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0A9553B3">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50360C3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5795989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址：泉州市丰泽区海星街100号东海大厦A幢市政务服务中心4楼450室</w:t>
      </w:r>
    </w:p>
    <w:p w14:paraId="5278901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E8A59F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25C5DCB1">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和申请竞价信息。如因承诺人所填写的信息不真实、不准确或不完整而造成注册账户无法激活的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0459593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看板或权益云交易平台网站竞价大厅查找招租项目并点击“申请竞价”，充分阅读并同意相关电签文件（包括但不限于《公开竞价文件》等），承诺人将按照《项目公告》的有关规定及时上传相关竞价材料，如因竞价材料未按时、未准确提交而造成资格审核不通过的，贵中心不承担任何责任。</w:t>
      </w:r>
    </w:p>
    <w:p w14:paraId="295B006F">
      <w:pPr>
        <w:adjustRightInd w:val="0"/>
        <w:snapToGrid w:val="0"/>
        <w:ind w:right="61" w:firstLine="560" w:firstLineChars="200"/>
        <w:rPr>
          <w:rFonts w:ascii="仿宋_GB2312" w:eastAsia="仿宋_GB2312"/>
          <w:b/>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54B7BE5E">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bCs/>
          <w:sz w:val="28"/>
          <w:szCs w:val="28"/>
        </w:rPr>
        <w:t>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r>
        <w:rPr>
          <w:rFonts w:hint="eastAsia" w:ascii="仿宋_GB2312" w:eastAsia="仿宋_GB2312"/>
          <w:sz w:val="28"/>
          <w:szCs w:val="28"/>
        </w:rPr>
        <w:t>。</w:t>
      </w:r>
    </w:p>
    <w:p w14:paraId="51163DE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竞价结果通知单》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而未能成为竞租人，贵中心将在收到承诺人提交的《交易保证金退还申请书》之日起3个工作日内或确定承租方次日起 3 个工作日内将承诺人交易保证金按原汇入渠道无息退还。</w:t>
      </w:r>
    </w:p>
    <w:p w14:paraId="0316211A">
      <w:pPr>
        <w:adjustRightInd w:val="0"/>
        <w:snapToGrid w:val="0"/>
        <w:ind w:right="61" w:firstLine="562" w:firstLineChars="200"/>
        <w:rPr>
          <w:rFonts w:eastAsia="仿宋_GB2312"/>
          <w:b/>
          <w:sz w:val="28"/>
        </w:rPr>
      </w:pPr>
      <w:r>
        <w:rPr>
          <w:rFonts w:hint="eastAsia" w:eastAsia="仿宋_GB2312"/>
          <w:b/>
          <w:sz w:val="28"/>
        </w:rPr>
        <w:t>十二、承诺人同意，</w:t>
      </w:r>
      <w:r>
        <w:rPr>
          <w:rFonts w:hint="eastAsia" w:ascii="仿宋_GB2312" w:eastAsia="仿宋_GB2312"/>
          <w:b/>
          <w:sz w:val="28"/>
          <w:szCs w:val="28"/>
        </w:rPr>
        <w:t>若承诺人成为本项目承租方，承诺人签署《竞价结果通知单》时，承诺人与项目委托方之间的租赁合同</w:t>
      </w:r>
      <w:r>
        <w:rPr>
          <w:rFonts w:hint="eastAsia" w:eastAsia="仿宋_GB2312"/>
          <w:b/>
          <w:sz w:val="28"/>
        </w:rPr>
        <w:t>即时成</w:t>
      </w:r>
      <w:r>
        <w:rPr>
          <w:rFonts w:hint="eastAsia" w:ascii="仿宋_GB2312" w:eastAsia="仿宋_GB2312"/>
          <w:b/>
          <w:sz w:val="28"/>
          <w:szCs w:val="28"/>
        </w:rPr>
        <w:t>立并生效</w:t>
      </w:r>
      <w:r>
        <w:rPr>
          <w:rFonts w:hint="eastAsia" w:eastAsia="仿宋_GB2312"/>
          <w:b/>
          <w:sz w:val="28"/>
        </w:rPr>
        <w:t>，承诺按《公开竞价文件》的规定履行签约义务。若由于委托方或承诺人的原因导致委托标的相关租赁合同无法签订，贵中心不承担任何责任</w:t>
      </w:r>
      <w:r>
        <w:rPr>
          <w:rFonts w:eastAsia="仿宋_GB2312"/>
          <w:b/>
          <w:sz w:val="28"/>
        </w:rPr>
        <w:t xml:space="preserve">, </w:t>
      </w:r>
      <w:r>
        <w:rPr>
          <w:rFonts w:hint="eastAsia" w:eastAsia="仿宋_GB2312"/>
          <w:b/>
          <w:sz w:val="28"/>
        </w:rPr>
        <w:t>承诺人与项目委托方自行协商解决。</w:t>
      </w:r>
    </w:p>
    <w:p w14:paraId="798681A6">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3DB6E1E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6757063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7403DB5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10E801C3">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279D020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5A21BA0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（一）权益云交易平台服务器机房网络、互联网络或组织方网络出现故障的；</w:t>
      </w:r>
    </w:p>
    <w:p w14:paraId="4A2BDD5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（二）服务器硬件或软件等出现系统故障的；</w:t>
      </w:r>
    </w:p>
    <w:p w14:paraId="3ADF885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40A14A8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7A91E7C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48D5C8F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7171D4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（二）竞价记录无法恢复的，以起始价重新竞价。</w:t>
      </w:r>
    </w:p>
    <w:p w14:paraId="2D414B4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二十、承诺人承诺若承诺人选择电子签章方式签署《竞价结果通知单》的，将严格按照贵中心网站首页的竞价图文指导进行“交易凭证电子签章”，且完全认可电子签章的法律效力。</w:t>
      </w:r>
      <w:r>
        <w:rPr>
          <w:rFonts w:hint="eastAsia" w:ascii="仿宋_GB2312" w:eastAsia="仿宋_GB2312"/>
          <w:b/>
          <w:sz w:val="28"/>
          <w:szCs w:val="28"/>
        </w:rPr>
        <w:t>在使用“交易凭证电子签章”前，承诺人承诺将仔细阅读并完全同意电子签章系统相关的操作流程指导、隐私声明、数字证书申请及使用文件等内容，且将按照系统指示进行操作，否则因此造成的后果，承诺人将自行承担责任，与贵中心无关</w:t>
      </w:r>
      <w:r>
        <w:rPr>
          <w:rFonts w:hint="eastAsia" w:ascii="仿宋_GB2312" w:eastAsia="仿宋_GB2312"/>
          <w:sz w:val="28"/>
          <w:szCs w:val="28"/>
        </w:rPr>
        <w:t>。</w:t>
      </w:r>
    </w:p>
    <w:p w14:paraId="640E2F0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2111B984">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（1）</w:t>
      </w:r>
      <w:r>
        <w:rPr>
          <w:rFonts w:hint="eastAsia" w:ascii="仿宋_GB2312" w:eastAsia="仿宋_GB2312"/>
          <w:b/>
          <w:kern w:val="0"/>
          <w:sz w:val="28"/>
          <w:szCs w:val="28"/>
        </w:rPr>
        <w:t>承诺人通过竞价或递补被确定为承租方</w:t>
      </w:r>
      <w:r>
        <w:rPr>
          <w:rFonts w:hint="eastAsia" w:ascii="仿宋_GB2312" w:eastAsia="仿宋_GB2312"/>
          <w:b/>
          <w:sz w:val="28"/>
          <w:szCs w:val="28"/>
        </w:rPr>
        <w:t>后，未按《公开竞价文件》的要求在规定的时间内将交易服务费、履约保证金（押金）及第一期租金等相关款项汇达贵中心指定账户，并携带付款凭证至贵中心签署《竞价结果通知单》的或未按《公开竞价文件》的要求在规定的时间完成成交手续的电子签章的。</w:t>
      </w:r>
    </w:p>
    <w:p w14:paraId="7D2A853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E8380E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634252B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若以快递或者挂号信形式寄送的，自发出之日起第5日视为送达之日。</w:t>
      </w:r>
    </w:p>
    <w:p w14:paraId="53281ACC">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二十三、承诺人同意，若承租方被取消承租资格的，则贵中心征得项目委托方的书面同意后，可根据委托方的要求</w:t>
      </w:r>
      <w:r>
        <w:rPr>
          <w:rFonts w:hint="eastAsia" w:ascii="仿宋_GB2312" w:hAnsi="Calibri" w:eastAsia="仿宋_GB2312"/>
          <w:b/>
          <w:sz w:val="28"/>
          <w:szCs w:val="28"/>
        </w:rPr>
        <w:t>按照各竞租人最终报价排名（即报价结束后，对每个竞租人的最高报价进行</w:t>
      </w:r>
      <w:r>
        <w:rPr>
          <w:rFonts w:hint="eastAsia" w:ascii="仿宋_GB2312" w:eastAsia="仿宋_GB2312"/>
          <w:b/>
          <w:sz w:val="28"/>
          <w:szCs w:val="28"/>
        </w:rPr>
        <w:t>排名）依次递补确定</w:t>
      </w:r>
      <w:r>
        <w:rPr>
          <w:rFonts w:hint="eastAsia" w:eastAsia="仿宋_GB2312"/>
          <w:b/>
          <w:sz w:val="28"/>
        </w:rPr>
        <w:t>承租方或者</w:t>
      </w:r>
      <w:r>
        <w:rPr>
          <w:rFonts w:hint="eastAsia" w:ascii="仿宋_GB2312" w:eastAsia="仿宋_GB2312"/>
          <w:b/>
          <w:sz w:val="28"/>
          <w:szCs w:val="28"/>
        </w:rPr>
        <w:t>收回竞价标的重新组织竞价。</w:t>
      </w:r>
    </w:p>
    <w:p w14:paraId="1898B6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三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5日视为已经收到并了解通知内容，送达完成）次日起2个工作日内将交易服务费、第一期租金及履约保证金（押金）等款项汇达贵中心，并至贵中心签署《竞价结果通知单》。</w:t>
      </w:r>
    </w:p>
    <w:p w14:paraId="367E73C4">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竞价结果通知单》的次日起三个工作日内将本项目履约保证金（押金）及第一期租金等相关款项全额无息汇入委托方账户。</w:t>
      </w:r>
    </w:p>
    <w:p w14:paraId="3B1AEBF9">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2884B56B">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二十七、承诺人同意，承诺人若被递补确定为承租方的，承诺人应于被确定为承租方之日起</w:t>
      </w:r>
      <w:r>
        <w:rPr>
          <w:rFonts w:ascii="仿宋_GB2312" w:eastAsia="仿宋_GB2312"/>
          <w:b/>
          <w:sz w:val="28"/>
          <w:szCs w:val="28"/>
        </w:rPr>
        <w:t>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51B7CB5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二十八、其他规定事项：</w:t>
      </w:r>
    </w:p>
    <w:p w14:paraId="1C6D7A5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（一）竞价成交后，贵中心除向承诺人提供《竞价结果通知单》、《合同签订通知书》、《交易凭证》、交易服务费发票外，不再提供有关标的其他材料。</w:t>
      </w:r>
    </w:p>
    <w:p w14:paraId="2000889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（二）承诺人未经贵中心和委托方书面同意而单方修改相关竞价文件的，视为提供虚假文件及资料，交易保证金不予返还，并承担由此产生的相关法律责任。</w:t>
      </w:r>
    </w:p>
    <w:p w14:paraId="05B969E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p>
    <w:p w14:paraId="49B3D3C2"/>
    <w:p w14:paraId="07768CC5"/>
    <w:p w14:paraId="4BAB1A59"/>
    <w:p w14:paraId="36A44952"/>
    <w:p w14:paraId="0862DC33">
      <w:pPr>
        <w:pStyle w:val="2"/>
        <w:jc w:val="center"/>
        <w:rPr>
          <w:rFonts w:asciiTheme="majorEastAsia" w:hAnsiTheme="majorEastAsia" w:eastAsiaTheme="majorEastAsia"/>
          <w:spacing w:val="220"/>
          <w:sz w:val="44"/>
          <w:szCs w:val="44"/>
          <w:lang w:eastAsia="zh-CN"/>
        </w:rPr>
      </w:pPr>
      <w:bookmarkStart w:id="4" w:name="_Toc25824623"/>
    </w:p>
    <w:p w14:paraId="0942CAC0">
      <w:pPr>
        <w:pStyle w:val="2"/>
        <w:jc w:val="center"/>
        <w:rPr>
          <w:rFonts w:asciiTheme="majorEastAsia" w:hAnsiTheme="majorEastAsia" w:eastAsiaTheme="majorEastAsia"/>
          <w:spacing w:val="220"/>
          <w:sz w:val="44"/>
          <w:szCs w:val="44"/>
          <w:lang w:eastAsia="zh-CN"/>
        </w:rPr>
      </w:pPr>
    </w:p>
    <w:p w14:paraId="4DB68D4B">
      <w:pPr>
        <w:pStyle w:val="2"/>
        <w:jc w:val="center"/>
        <w:rPr>
          <w:rFonts w:asciiTheme="majorEastAsia" w:hAnsiTheme="majorEastAsia" w:eastAsiaTheme="majorEastAsia"/>
          <w:spacing w:val="220"/>
          <w:sz w:val="44"/>
          <w:szCs w:val="44"/>
          <w:lang w:eastAsia="zh-CN"/>
        </w:rPr>
      </w:pPr>
    </w:p>
    <w:p w14:paraId="7C18BAA6">
      <w:pPr>
        <w:pStyle w:val="2"/>
        <w:jc w:val="center"/>
        <w:rPr>
          <w:rFonts w:asciiTheme="majorEastAsia" w:hAnsiTheme="majorEastAsia" w:eastAsiaTheme="majorEastAsia"/>
          <w:spacing w:val="220"/>
          <w:sz w:val="44"/>
          <w:szCs w:val="44"/>
          <w:lang w:eastAsia="zh-CN"/>
        </w:rPr>
      </w:pPr>
    </w:p>
    <w:p w14:paraId="6F568A3D">
      <w:pPr>
        <w:pStyle w:val="2"/>
        <w:jc w:val="center"/>
        <w:rPr>
          <w:rFonts w:asciiTheme="majorEastAsia" w:hAnsiTheme="majorEastAsia" w:eastAsiaTheme="majorEastAsia"/>
          <w:spacing w:val="220"/>
          <w:sz w:val="44"/>
          <w:szCs w:val="44"/>
          <w:lang w:eastAsia="zh-CN"/>
        </w:rPr>
      </w:pPr>
    </w:p>
    <w:p w14:paraId="0BC67128">
      <w:pPr>
        <w:pStyle w:val="2"/>
        <w:jc w:val="center"/>
        <w:rPr>
          <w:rFonts w:asciiTheme="majorEastAsia" w:hAnsiTheme="majorEastAsia" w:eastAsiaTheme="majorEastAsia"/>
          <w:spacing w:val="220"/>
          <w:sz w:val="44"/>
          <w:szCs w:val="44"/>
          <w:lang w:eastAsia="zh-CN"/>
        </w:rPr>
      </w:pPr>
    </w:p>
    <w:p w14:paraId="2DA8703A">
      <w:pPr>
        <w:pStyle w:val="2"/>
        <w:rPr>
          <w:rFonts w:asciiTheme="majorEastAsia" w:hAnsiTheme="majorEastAsia" w:eastAsiaTheme="majorEastAsia"/>
          <w:spacing w:val="220"/>
          <w:sz w:val="44"/>
          <w:szCs w:val="44"/>
          <w:lang w:eastAsia="zh-CN"/>
        </w:rPr>
      </w:pPr>
    </w:p>
    <w:p w14:paraId="3A5CE9BB">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p>
    <w:p w14:paraId="2BF6D358">
      <w:pPr>
        <w:pStyle w:val="10"/>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73578D14">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租人办理下列事项：1、办理报名竞租手续并签署相关文件□；2、办理竞价成交手续并签署相关文件(包括但不限于电子签章等方式)□；3、与委托方签订《租赁合同》□（在予以授权的事项后面的□中打√，不予授权的事项后面的□中打×）。</w:t>
      </w:r>
    </w:p>
    <w:p w14:paraId="10021B84">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0D387552">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0D0DEAB5">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581A6C2C">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FBD875D">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5A09BB7D">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623162E9">
      <w:pPr>
        <w:pStyle w:val="10"/>
        <w:adjustRightInd w:val="0"/>
        <w:snapToGrid w:val="0"/>
        <w:spacing w:line="560" w:lineRule="exact"/>
        <w:ind w:firstLine="537" w:firstLineChars="192"/>
        <w:jc w:val="right"/>
        <w:rPr>
          <w:rFonts w:ascii="仿宋_GB2312" w:eastAsia="仿宋_GB2312"/>
          <w:sz w:val="28"/>
          <w:szCs w:val="28"/>
        </w:rPr>
      </w:pPr>
    </w:p>
    <w:p w14:paraId="0254D136">
      <w:pPr>
        <w:pStyle w:val="10"/>
        <w:adjustRightInd w:val="0"/>
        <w:snapToGrid w:val="0"/>
        <w:spacing w:line="560" w:lineRule="exact"/>
        <w:ind w:right="980" w:firstLine="537" w:firstLineChars="192"/>
        <w:jc w:val="right"/>
        <w:rPr>
          <w:rFonts w:ascii="仿宋_GB2312" w:eastAsia="仿宋_GB2312"/>
          <w:sz w:val="28"/>
          <w:szCs w:val="28"/>
          <w:u w:val="single"/>
        </w:rPr>
      </w:pPr>
      <w:r>
        <w:rPr>
          <w:rFonts w:hint="eastAsia" w:ascii="仿宋_GB2312" w:eastAsia="仿宋_GB2312"/>
          <w:sz w:val="28"/>
          <w:szCs w:val="28"/>
        </w:rPr>
        <w:t>竞租人（签章）：</w:t>
      </w:r>
    </w:p>
    <w:p w14:paraId="7C500CE4">
      <w:pPr>
        <w:pStyle w:val="10"/>
        <w:wordWrap w:val="0"/>
        <w:adjustRightInd w:val="0"/>
        <w:snapToGrid w:val="0"/>
        <w:spacing w:line="560" w:lineRule="exact"/>
        <w:ind w:right="980" w:firstLine="537" w:firstLineChars="192"/>
        <w:jc w:val="right"/>
        <w:rPr>
          <w:rFonts w:ascii="仿宋_GB2312" w:eastAsia="仿宋_GB2312"/>
          <w:sz w:val="28"/>
          <w:szCs w:val="28"/>
          <w:u w:val="single"/>
        </w:rPr>
      </w:pPr>
      <w:r>
        <w:rPr>
          <w:rFonts w:hint="eastAsia" w:ascii="仿宋_GB2312" w:eastAsia="仿宋_GB2312"/>
          <w:sz w:val="28"/>
          <w:szCs w:val="28"/>
        </w:rPr>
        <w:t>法定代表人（签字）：</w:t>
      </w:r>
    </w:p>
    <w:p w14:paraId="17567900">
      <w:pPr>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bookmarkEnd w:id="4"/>
    <w:p w14:paraId="5A60442F">
      <w:pPr>
        <w:spacing w:line="560" w:lineRule="exact"/>
        <w:ind w:right="560" w:firstLine="560" w:firstLineChars="200"/>
        <w:jc w:val="right"/>
        <w:rPr>
          <w:rFonts w:ascii="仿宋_GB2312" w:eastAsia="仿宋_GB2312"/>
          <w:sz w:val="28"/>
          <w:szCs w:val="28"/>
        </w:rPr>
      </w:pPr>
    </w:p>
    <w:p w14:paraId="53C6ACB7">
      <w:pPr>
        <w:spacing w:line="560" w:lineRule="exact"/>
        <w:ind w:right="560" w:firstLine="560" w:firstLineChars="200"/>
        <w:jc w:val="right"/>
        <w:rPr>
          <w:rFonts w:ascii="仿宋_GB2312" w:eastAsia="仿宋_GB2312"/>
          <w:sz w:val="28"/>
          <w:szCs w:val="28"/>
        </w:rPr>
      </w:pPr>
    </w:p>
    <w:p w14:paraId="4EE0EA72">
      <w:pPr>
        <w:spacing w:line="560" w:lineRule="exact"/>
        <w:ind w:right="560" w:firstLine="560" w:firstLineChars="200"/>
        <w:jc w:val="right"/>
        <w:rPr>
          <w:rFonts w:ascii="仿宋_GB2312" w:eastAsia="仿宋_GB2312"/>
          <w:sz w:val="28"/>
          <w:szCs w:val="28"/>
        </w:rPr>
      </w:pPr>
    </w:p>
    <w:p w14:paraId="073A5CA1">
      <w:pPr>
        <w:adjustRightInd w:val="0"/>
        <w:snapToGrid w:val="0"/>
        <w:ind w:right="-57"/>
        <w:jc w:val="center"/>
        <w:outlineLvl w:val="0"/>
        <w:rPr>
          <w:rFonts w:asciiTheme="minorEastAsia" w:hAnsiTheme="minorEastAsia" w:eastAsiaTheme="minorEastAsia" w:cstheme="minorEastAsia"/>
          <w:sz w:val="44"/>
          <w:szCs w:val="44"/>
        </w:rPr>
      </w:pPr>
      <w:bookmarkStart w:id="5" w:name="_Toc25824624"/>
      <w:r>
        <w:rPr>
          <w:rFonts w:hint="eastAsia" w:asciiTheme="minorEastAsia" w:hAnsiTheme="minorEastAsia" w:eastAsiaTheme="minorEastAsia" w:cstheme="minorEastAsia"/>
          <w:sz w:val="44"/>
          <w:szCs w:val="44"/>
        </w:rPr>
        <w:t>交易保证金退还申请书</w:t>
      </w:r>
      <w:bookmarkEnd w:id="5"/>
    </w:p>
    <w:p w14:paraId="6E8E4885">
      <w:pPr>
        <w:pStyle w:val="10"/>
        <w:adjustRightInd w:val="0"/>
        <w:snapToGrid w:val="0"/>
        <w:spacing w:line="560" w:lineRule="exact"/>
        <w:rPr>
          <w:rFonts w:ascii="仿宋_GB2312" w:hAnsi="Times New Roman" w:eastAsia="仿宋_GB2312"/>
          <w:sz w:val="28"/>
          <w:szCs w:val="28"/>
        </w:rPr>
      </w:pPr>
    </w:p>
    <w:p w14:paraId="1D3C7BFE">
      <w:pPr>
        <w:pStyle w:val="10"/>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55741B76">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    年   月   日向贵中心交纳人民币万元的交易保证金。后本公司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7DBC13A4">
      <w:pPr>
        <w:spacing w:line="560" w:lineRule="exact"/>
        <w:ind w:right="300" w:firstLine="560" w:firstLineChars="200"/>
        <w:rPr>
          <w:rFonts w:ascii="仿宋_GB2312" w:eastAsia="仿宋_GB2312"/>
          <w:sz w:val="28"/>
          <w:szCs w:val="28"/>
        </w:rPr>
      </w:pPr>
    </w:p>
    <w:p w14:paraId="19B73294">
      <w:pPr>
        <w:spacing w:line="560" w:lineRule="exact"/>
        <w:ind w:right="300" w:firstLine="560" w:firstLineChars="200"/>
      </w:pPr>
      <w:r>
        <w:rPr>
          <w:rFonts w:hint="eastAsia" w:ascii="仿宋_GB2312" w:eastAsia="仿宋_GB2312"/>
          <w:sz w:val="28"/>
          <w:szCs w:val="28"/>
        </w:rPr>
        <w:t>附：交易保证金汇款凭证</w:t>
      </w:r>
    </w:p>
    <w:p w14:paraId="7FAB806C">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1719B7BC">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658EA04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31CD16D8">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6F2A79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074F3EF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6A12490D">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4E36C828">
      <w:pPr>
        <w:pStyle w:val="10"/>
        <w:wordWrap w:val="0"/>
        <w:adjustRightInd w:val="0"/>
        <w:snapToGrid w:val="0"/>
        <w:spacing w:line="560" w:lineRule="exact"/>
        <w:ind w:firstLine="537" w:firstLineChars="192"/>
        <w:jc w:val="right"/>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442DC2D5">
      <w:pPr>
        <w:pStyle w:val="10"/>
        <w:wordWrap w:val="0"/>
        <w:adjustRightInd w:val="0"/>
        <w:snapToGrid w:val="0"/>
        <w:spacing w:line="560" w:lineRule="exact"/>
        <w:ind w:firstLine="537" w:firstLineChars="192"/>
        <w:jc w:val="right"/>
        <w:rPr>
          <w:rFonts w:ascii="仿宋_GB2312" w:hAnsi="Times New Roman" w:eastAsia="仿宋_GB2312"/>
          <w:sz w:val="28"/>
          <w:szCs w:val="28"/>
        </w:rPr>
      </w:pPr>
      <w:r>
        <w:rPr>
          <w:rFonts w:hint="eastAsia" w:ascii="仿宋_GB2312" w:hAnsi="Times New Roman" w:eastAsia="仿宋_GB2312"/>
          <w:sz w:val="28"/>
          <w:szCs w:val="28"/>
        </w:rPr>
        <w:t>法定代表人（签字）：</w:t>
      </w:r>
    </w:p>
    <w:p w14:paraId="3FE24E13">
      <w:pPr>
        <w:pStyle w:val="10"/>
        <w:adjustRightInd w:val="0"/>
        <w:snapToGrid w:val="0"/>
        <w:spacing w:line="560" w:lineRule="exact"/>
        <w:ind w:right="560" w:firstLine="6020" w:firstLineChars="2150"/>
        <w:rPr>
          <w:rFonts w:ascii="仿宋_GB2312" w:hAnsi="Times New Roman" w:eastAsia="仿宋_GB2312"/>
          <w:sz w:val="28"/>
          <w:szCs w:val="28"/>
        </w:rPr>
      </w:pPr>
      <w:r>
        <w:rPr>
          <w:rFonts w:hint="eastAsia" w:ascii="仿宋_GB2312" w:eastAsia="仿宋_GB2312"/>
          <w:sz w:val="28"/>
          <w:szCs w:val="28"/>
        </w:rPr>
        <w:t>年  月  日</w:t>
      </w:r>
    </w:p>
    <w:p w14:paraId="1570944C">
      <w:pPr>
        <w:pStyle w:val="2"/>
        <w:pageBreakBefore/>
        <w:jc w:val="center"/>
        <w:rPr>
          <w:rFonts w:asciiTheme="majorEastAsia" w:hAnsiTheme="majorEastAsia" w:eastAsiaTheme="majorEastAsia"/>
          <w:sz w:val="44"/>
          <w:szCs w:val="44"/>
        </w:rPr>
      </w:pPr>
      <w:bookmarkStart w:id="6" w:name="_Toc25824625"/>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6"/>
    </w:p>
    <w:p w14:paraId="5961D17E">
      <w:pPr>
        <w:jc w:val="center"/>
        <w:rPr>
          <w:rFonts w:ascii="仿宋_GB2312" w:hAnsi="宋体" w:eastAsia="仿宋_GB2312" w:cs="宋体"/>
          <w:bCs/>
          <w:sz w:val="18"/>
        </w:rPr>
      </w:pPr>
      <w:r>
        <w:rPr>
          <w:rFonts w:hint="eastAsia" w:ascii="仿宋_GB2312" w:hAnsi="宋体" w:eastAsia="仿宋_GB2312" w:cs="宋体"/>
          <w:b/>
          <w:bCs/>
          <w:kern w:val="0"/>
          <w:sz w:val="18"/>
          <w:szCs w:val="18"/>
        </w:rPr>
        <w:t>泉州市产权交易中心</w:t>
      </w:r>
      <w:r>
        <w:rPr>
          <w:rFonts w:hint="eastAsia" w:ascii="仿宋_GB2312" w:hAnsi="宋体" w:eastAsia="仿宋_GB2312" w:cs="宋体"/>
          <w:b/>
          <w:bCs/>
          <w:kern w:val="0"/>
          <w:sz w:val="18"/>
        </w:rPr>
        <w:t>房产租赁收费标准</w:t>
      </w:r>
    </w:p>
    <w:p w14:paraId="0DCA72ED">
      <w:pPr>
        <w:jc w:val="center"/>
      </w:pPr>
    </w:p>
    <w:p w14:paraId="754AA786">
      <w:pPr>
        <w:widowControl/>
        <w:ind w:firstLine="590"/>
        <w:jc w:val="left"/>
        <w:rPr>
          <w:rFonts w:ascii="宋体" w:hAnsi="宋体" w:cs="宋体"/>
          <w:kern w:val="0"/>
          <w:sz w:val="16"/>
          <w:szCs w:val="16"/>
        </w:rPr>
      </w:pPr>
      <w:r>
        <w:rPr>
          <w:rFonts w:hint="eastAsia" w:ascii="仿宋_GB2312" w:hAnsi="宋体" w:eastAsia="仿宋_GB2312" w:cs="宋体"/>
          <w:b/>
          <w:bCs/>
          <w:kern w:val="0"/>
          <w:sz w:val="20"/>
          <w:szCs w:val="20"/>
        </w:rPr>
        <w:t> </w:t>
      </w:r>
    </w:p>
    <w:p w14:paraId="3495C7FC">
      <w:pPr>
        <w:widowControl/>
        <w:jc w:val="left"/>
        <w:rPr>
          <w:rFonts w:ascii="宋体" w:hAnsi="宋体" w:cs="宋体"/>
          <w:kern w:val="0"/>
          <w:sz w:val="16"/>
          <w:szCs w:val="16"/>
        </w:rPr>
      </w:pPr>
      <w:r>
        <w:rPr>
          <w:rFonts w:hint="eastAsia" w:ascii="仿宋_GB2312" w:hAnsi="宋体" w:eastAsia="仿宋_GB2312" w:cs="宋体"/>
          <w:kern w:val="0"/>
          <w:sz w:val="24"/>
        </w:rPr>
        <w:t>    （一）租期5年（含5年）以下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D9B2F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7D9622FE">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2C08F37F">
            <w:pPr>
              <w:widowControl/>
              <w:ind w:firstLine="480"/>
              <w:jc w:val="center"/>
              <w:rPr>
                <w:rFonts w:ascii="仿宋_GB2312" w:hAnsi="宋体" w:eastAsia="仿宋_GB2312" w:cs="宋体"/>
                <w:kern w:val="0"/>
                <w:sz w:val="24"/>
              </w:rPr>
            </w:pPr>
            <w:r>
              <w:rPr>
                <w:rFonts w:hint="eastAsia" w:ascii="仿宋_GB2312" w:hAnsi="宋体" w:eastAsia="仿宋_GB2312" w:cs="宋体"/>
                <w:kern w:val="0"/>
                <w:sz w:val="24"/>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2517A54A">
            <w:pPr>
              <w:widowControl/>
              <w:jc w:val="center"/>
              <w:rPr>
                <w:rFonts w:ascii="仿宋_GB2312" w:hAnsi="宋体" w:eastAsia="仿宋_GB2312" w:cs="宋体"/>
                <w:kern w:val="0"/>
                <w:sz w:val="24"/>
              </w:rPr>
            </w:pPr>
            <w:r>
              <w:rPr>
                <w:rFonts w:hint="eastAsia" w:ascii="仿宋_GB2312" w:hAnsi="宋体" w:eastAsia="仿宋_GB2312" w:cs="宋体"/>
                <w:kern w:val="0"/>
                <w:sz w:val="24"/>
              </w:rPr>
              <w:t>交易服务费</w:t>
            </w:r>
          </w:p>
        </w:tc>
      </w:tr>
      <w:tr w14:paraId="3484A7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57C50E08">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4395" w:type="dxa"/>
            <w:tcBorders>
              <w:top w:val="single" w:color="auto" w:sz="8" w:space="0"/>
              <w:left w:val="single" w:color="auto" w:sz="8" w:space="0"/>
              <w:bottom w:val="single" w:color="auto" w:sz="8" w:space="0"/>
              <w:right w:val="single" w:color="auto" w:sz="8" w:space="0"/>
            </w:tcBorders>
            <w:vAlign w:val="center"/>
          </w:tcPr>
          <w:p w14:paraId="7599D3B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0EC0643B">
            <w:pPr>
              <w:widowControl/>
              <w:jc w:val="center"/>
              <w:rPr>
                <w:rFonts w:ascii="仿宋_GB2312" w:hAnsi="宋体" w:eastAsia="仿宋_GB2312" w:cs="宋体"/>
                <w:kern w:val="0"/>
                <w:sz w:val="24"/>
              </w:rPr>
            </w:pPr>
            <w:r>
              <w:rPr>
                <w:rFonts w:hint="eastAsia" w:ascii="仿宋_GB2312" w:hAnsi="宋体" w:eastAsia="仿宋_GB2312" w:cs="宋体"/>
                <w:kern w:val="0"/>
                <w:sz w:val="24"/>
              </w:rPr>
              <w:t>500元</w:t>
            </w:r>
          </w:p>
        </w:tc>
      </w:tr>
      <w:tr w14:paraId="41B84E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518C3E5B">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4395" w:type="dxa"/>
            <w:tcBorders>
              <w:top w:val="single" w:color="auto" w:sz="8" w:space="0"/>
              <w:left w:val="single" w:color="auto" w:sz="8" w:space="0"/>
              <w:bottom w:val="single" w:color="auto" w:sz="8" w:space="0"/>
              <w:right w:val="single" w:color="auto" w:sz="8" w:space="0"/>
            </w:tcBorders>
            <w:vAlign w:val="center"/>
          </w:tcPr>
          <w:p w14:paraId="328E3CA4">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20000～50000元 （含50000元）</w:t>
            </w:r>
          </w:p>
        </w:tc>
        <w:tc>
          <w:tcPr>
            <w:tcW w:w="1980" w:type="dxa"/>
            <w:tcBorders>
              <w:top w:val="single" w:color="auto" w:sz="8" w:space="0"/>
              <w:left w:val="single" w:color="auto" w:sz="8" w:space="0"/>
              <w:bottom w:val="single" w:color="auto" w:sz="8" w:space="0"/>
              <w:right w:val="single" w:color="auto" w:sz="8" w:space="0"/>
            </w:tcBorders>
            <w:vAlign w:val="center"/>
          </w:tcPr>
          <w:p w14:paraId="22638084">
            <w:pPr>
              <w:widowControl/>
              <w:jc w:val="center"/>
              <w:rPr>
                <w:rFonts w:ascii="仿宋_GB2312" w:hAnsi="宋体" w:eastAsia="仿宋_GB2312" w:cs="宋体"/>
                <w:kern w:val="0"/>
                <w:sz w:val="24"/>
              </w:rPr>
            </w:pPr>
            <w:r>
              <w:rPr>
                <w:rFonts w:hint="eastAsia" w:ascii="仿宋_GB2312" w:hAnsi="宋体" w:eastAsia="仿宋_GB2312" w:cs="宋体"/>
                <w:kern w:val="0"/>
                <w:sz w:val="24"/>
              </w:rPr>
              <w:t>1000元</w:t>
            </w:r>
          </w:p>
        </w:tc>
      </w:tr>
      <w:tr w14:paraId="3C92D0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655BB96">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4395" w:type="dxa"/>
            <w:tcBorders>
              <w:top w:val="single" w:color="auto" w:sz="8" w:space="0"/>
              <w:left w:val="single" w:color="auto" w:sz="8" w:space="0"/>
              <w:bottom w:val="single" w:color="auto" w:sz="8" w:space="0"/>
              <w:right w:val="single" w:color="auto" w:sz="8" w:space="0"/>
            </w:tcBorders>
            <w:vAlign w:val="center"/>
          </w:tcPr>
          <w:p w14:paraId="721D1AA5">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50000～100000元 （含100000元）</w:t>
            </w:r>
          </w:p>
        </w:tc>
        <w:tc>
          <w:tcPr>
            <w:tcW w:w="1980" w:type="dxa"/>
            <w:tcBorders>
              <w:top w:val="single" w:color="auto" w:sz="8" w:space="0"/>
              <w:left w:val="single" w:color="auto" w:sz="8" w:space="0"/>
              <w:bottom w:val="single" w:color="auto" w:sz="8" w:space="0"/>
              <w:right w:val="single" w:color="auto" w:sz="8" w:space="0"/>
            </w:tcBorders>
            <w:vAlign w:val="center"/>
          </w:tcPr>
          <w:p w14:paraId="580DD52D">
            <w:pPr>
              <w:widowControl/>
              <w:jc w:val="center"/>
              <w:rPr>
                <w:rFonts w:ascii="仿宋_GB2312" w:hAnsi="宋体" w:eastAsia="仿宋_GB2312" w:cs="宋体"/>
                <w:kern w:val="0"/>
                <w:sz w:val="24"/>
              </w:rPr>
            </w:pPr>
            <w:r>
              <w:rPr>
                <w:rFonts w:hint="eastAsia" w:ascii="仿宋_GB2312" w:hAnsi="宋体" w:eastAsia="仿宋_GB2312" w:cs="宋体"/>
                <w:kern w:val="0"/>
                <w:sz w:val="24"/>
              </w:rPr>
              <w:t>3000元</w:t>
            </w:r>
          </w:p>
        </w:tc>
      </w:tr>
      <w:tr w14:paraId="181ED1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7928508B">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4395" w:type="dxa"/>
            <w:tcBorders>
              <w:top w:val="single" w:color="auto" w:sz="8" w:space="0"/>
              <w:left w:val="single" w:color="auto" w:sz="8" w:space="0"/>
              <w:bottom w:val="single" w:color="auto" w:sz="8" w:space="0"/>
              <w:right w:val="single" w:color="auto" w:sz="8" w:space="0"/>
            </w:tcBorders>
            <w:vAlign w:val="center"/>
          </w:tcPr>
          <w:p w14:paraId="7A211904">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100000～200000元 （含200000元）</w:t>
            </w:r>
          </w:p>
        </w:tc>
        <w:tc>
          <w:tcPr>
            <w:tcW w:w="1980" w:type="dxa"/>
            <w:tcBorders>
              <w:top w:val="single" w:color="auto" w:sz="8" w:space="0"/>
              <w:left w:val="single" w:color="auto" w:sz="8" w:space="0"/>
              <w:bottom w:val="single" w:color="auto" w:sz="8" w:space="0"/>
              <w:right w:val="single" w:color="auto" w:sz="8" w:space="0"/>
            </w:tcBorders>
            <w:vAlign w:val="center"/>
          </w:tcPr>
          <w:p w14:paraId="6019313E">
            <w:pPr>
              <w:widowControl/>
              <w:jc w:val="center"/>
              <w:rPr>
                <w:rFonts w:ascii="仿宋_GB2312" w:hAnsi="宋体" w:eastAsia="仿宋_GB2312" w:cs="宋体"/>
                <w:kern w:val="0"/>
                <w:sz w:val="24"/>
              </w:rPr>
            </w:pPr>
            <w:r>
              <w:rPr>
                <w:rFonts w:hint="eastAsia" w:ascii="仿宋_GB2312" w:hAnsi="宋体" w:eastAsia="仿宋_GB2312" w:cs="宋体"/>
                <w:kern w:val="0"/>
                <w:sz w:val="24"/>
              </w:rPr>
              <w:t>5000元</w:t>
            </w:r>
          </w:p>
        </w:tc>
      </w:tr>
      <w:tr w14:paraId="3562B2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5B9C9C3">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4395" w:type="dxa"/>
            <w:tcBorders>
              <w:top w:val="single" w:color="auto" w:sz="8" w:space="0"/>
              <w:left w:val="single" w:color="auto" w:sz="8" w:space="0"/>
              <w:bottom w:val="single" w:color="auto" w:sz="8" w:space="0"/>
              <w:right w:val="single" w:color="auto" w:sz="8" w:space="0"/>
            </w:tcBorders>
            <w:vAlign w:val="center"/>
          </w:tcPr>
          <w:p w14:paraId="5155A9F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200000～300000元 （含300000元）</w:t>
            </w:r>
          </w:p>
        </w:tc>
        <w:tc>
          <w:tcPr>
            <w:tcW w:w="1980" w:type="dxa"/>
            <w:tcBorders>
              <w:top w:val="single" w:color="auto" w:sz="8" w:space="0"/>
              <w:left w:val="single" w:color="auto" w:sz="8" w:space="0"/>
              <w:bottom w:val="single" w:color="auto" w:sz="8" w:space="0"/>
              <w:right w:val="single" w:color="auto" w:sz="8" w:space="0"/>
            </w:tcBorders>
            <w:vAlign w:val="center"/>
          </w:tcPr>
          <w:p w14:paraId="3450C4E8">
            <w:pPr>
              <w:widowControl/>
              <w:jc w:val="center"/>
              <w:rPr>
                <w:rFonts w:ascii="仿宋_GB2312" w:hAnsi="宋体" w:eastAsia="仿宋_GB2312" w:cs="宋体"/>
                <w:kern w:val="0"/>
                <w:sz w:val="24"/>
              </w:rPr>
            </w:pPr>
            <w:r>
              <w:rPr>
                <w:rFonts w:hint="eastAsia" w:ascii="仿宋_GB2312" w:hAnsi="宋体" w:eastAsia="仿宋_GB2312" w:cs="宋体"/>
                <w:kern w:val="0"/>
                <w:sz w:val="24"/>
              </w:rPr>
              <w:t>10000元</w:t>
            </w:r>
          </w:p>
        </w:tc>
      </w:tr>
      <w:tr w14:paraId="3BA49D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7776FE5">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4395" w:type="dxa"/>
            <w:tcBorders>
              <w:top w:val="single" w:color="auto" w:sz="8" w:space="0"/>
              <w:left w:val="single" w:color="auto" w:sz="8" w:space="0"/>
              <w:bottom w:val="single" w:color="auto" w:sz="8" w:space="0"/>
              <w:right w:val="single" w:color="auto" w:sz="8" w:space="0"/>
            </w:tcBorders>
            <w:vAlign w:val="center"/>
          </w:tcPr>
          <w:p w14:paraId="2BB86E3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300000～500000元 （含500000元）</w:t>
            </w:r>
          </w:p>
        </w:tc>
        <w:tc>
          <w:tcPr>
            <w:tcW w:w="1980" w:type="dxa"/>
            <w:tcBorders>
              <w:top w:val="single" w:color="auto" w:sz="8" w:space="0"/>
              <w:left w:val="single" w:color="auto" w:sz="8" w:space="0"/>
              <w:bottom w:val="single" w:color="auto" w:sz="8" w:space="0"/>
              <w:right w:val="single" w:color="auto" w:sz="8" w:space="0"/>
            </w:tcBorders>
            <w:vAlign w:val="center"/>
          </w:tcPr>
          <w:p w14:paraId="5221FE0C">
            <w:pPr>
              <w:widowControl/>
              <w:jc w:val="center"/>
              <w:rPr>
                <w:rFonts w:ascii="仿宋_GB2312" w:hAnsi="宋体" w:eastAsia="仿宋_GB2312" w:cs="宋体"/>
                <w:kern w:val="0"/>
                <w:sz w:val="24"/>
              </w:rPr>
            </w:pPr>
            <w:r>
              <w:rPr>
                <w:rFonts w:hint="eastAsia" w:ascii="仿宋_GB2312" w:hAnsi="宋体" w:eastAsia="仿宋_GB2312" w:cs="宋体"/>
                <w:kern w:val="0"/>
                <w:sz w:val="24"/>
              </w:rPr>
              <w:t>15000元</w:t>
            </w:r>
          </w:p>
        </w:tc>
      </w:tr>
      <w:tr w14:paraId="496CC5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0A3F62F">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4395" w:type="dxa"/>
            <w:tcBorders>
              <w:top w:val="single" w:color="auto" w:sz="8" w:space="0"/>
              <w:left w:val="single" w:color="auto" w:sz="8" w:space="0"/>
              <w:bottom w:val="single" w:color="auto" w:sz="8" w:space="0"/>
              <w:right w:val="single" w:color="auto" w:sz="8" w:space="0"/>
            </w:tcBorders>
            <w:vAlign w:val="center"/>
          </w:tcPr>
          <w:p w14:paraId="23FD504F">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500000～700000元 （含700000元）</w:t>
            </w:r>
          </w:p>
        </w:tc>
        <w:tc>
          <w:tcPr>
            <w:tcW w:w="1980" w:type="dxa"/>
            <w:tcBorders>
              <w:top w:val="single" w:color="auto" w:sz="8" w:space="0"/>
              <w:left w:val="single" w:color="auto" w:sz="8" w:space="0"/>
              <w:bottom w:val="single" w:color="auto" w:sz="8" w:space="0"/>
              <w:right w:val="single" w:color="auto" w:sz="8" w:space="0"/>
            </w:tcBorders>
            <w:vAlign w:val="center"/>
          </w:tcPr>
          <w:p w14:paraId="35C636BC">
            <w:pPr>
              <w:widowControl/>
              <w:jc w:val="center"/>
              <w:rPr>
                <w:rFonts w:ascii="仿宋_GB2312" w:hAnsi="宋体" w:eastAsia="仿宋_GB2312" w:cs="宋体"/>
                <w:kern w:val="0"/>
                <w:sz w:val="24"/>
              </w:rPr>
            </w:pPr>
            <w:r>
              <w:rPr>
                <w:rFonts w:hint="eastAsia" w:ascii="仿宋_GB2312" w:hAnsi="宋体" w:eastAsia="仿宋_GB2312" w:cs="宋体"/>
                <w:kern w:val="0"/>
                <w:sz w:val="24"/>
              </w:rPr>
              <w:t>25000元</w:t>
            </w:r>
          </w:p>
        </w:tc>
      </w:tr>
      <w:tr w14:paraId="2B63AA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0C426A8">
            <w:pPr>
              <w:widowControl/>
              <w:jc w:val="center"/>
              <w:rPr>
                <w:rFonts w:ascii="仿宋_GB2312" w:hAnsi="宋体" w:eastAsia="仿宋_GB2312" w:cs="宋体"/>
                <w:kern w:val="0"/>
                <w:sz w:val="24"/>
              </w:rPr>
            </w:pPr>
            <w:r>
              <w:rPr>
                <w:rFonts w:hint="eastAsia" w:ascii="仿宋_GB2312" w:hAnsi="宋体" w:eastAsia="仿宋_GB2312" w:cs="宋体"/>
                <w:kern w:val="0"/>
                <w:sz w:val="24"/>
              </w:rPr>
              <w:t>8</w:t>
            </w:r>
          </w:p>
        </w:tc>
        <w:tc>
          <w:tcPr>
            <w:tcW w:w="4395" w:type="dxa"/>
            <w:tcBorders>
              <w:top w:val="single" w:color="auto" w:sz="8" w:space="0"/>
              <w:left w:val="single" w:color="auto" w:sz="8" w:space="0"/>
              <w:bottom w:val="single" w:color="auto" w:sz="8" w:space="0"/>
              <w:right w:val="single" w:color="auto" w:sz="8" w:space="0"/>
            </w:tcBorders>
            <w:vAlign w:val="center"/>
          </w:tcPr>
          <w:p w14:paraId="19C21751">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700000～1000000元 （含1000000元）</w:t>
            </w:r>
          </w:p>
        </w:tc>
        <w:tc>
          <w:tcPr>
            <w:tcW w:w="1980" w:type="dxa"/>
            <w:tcBorders>
              <w:top w:val="single" w:color="auto" w:sz="8" w:space="0"/>
              <w:left w:val="single" w:color="auto" w:sz="8" w:space="0"/>
              <w:bottom w:val="single" w:color="auto" w:sz="8" w:space="0"/>
              <w:right w:val="single" w:color="auto" w:sz="8" w:space="0"/>
            </w:tcBorders>
            <w:vAlign w:val="center"/>
          </w:tcPr>
          <w:p w14:paraId="39D78C12">
            <w:pPr>
              <w:widowControl/>
              <w:jc w:val="center"/>
              <w:rPr>
                <w:rFonts w:ascii="仿宋_GB2312" w:hAnsi="宋体" w:eastAsia="仿宋_GB2312" w:cs="宋体"/>
                <w:kern w:val="0"/>
                <w:sz w:val="24"/>
              </w:rPr>
            </w:pPr>
            <w:r>
              <w:rPr>
                <w:rFonts w:hint="eastAsia" w:ascii="仿宋_GB2312" w:hAnsi="宋体" w:eastAsia="仿宋_GB2312" w:cs="宋体"/>
                <w:kern w:val="0"/>
                <w:sz w:val="24"/>
              </w:rPr>
              <w:t>40000元</w:t>
            </w:r>
          </w:p>
        </w:tc>
      </w:tr>
      <w:tr w14:paraId="08DC39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138C11">
            <w:pPr>
              <w:widowControl/>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4395" w:type="dxa"/>
            <w:tcBorders>
              <w:top w:val="single" w:color="auto" w:sz="8" w:space="0"/>
              <w:left w:val="single" w:color="auto" w:sz="8" w:space="0"/>
              <w:bottom w:val="single" w:color="auto" w:sz="8" w:space="0"/>
              <w:right w:val="single" w:color="auto" w:sz="8" w:space="0"/>
            </w:tcBorders>
            <w:vAlign w:val="center"/>
          </w:tcPr>
          <w:p w14:paraId="0775EF21">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506BD15B">
            <w:pPr>
              <w:widowControl/>
              <w:jc w:val="left"/>
              <w:rPr>
                <w:rFonts w:ascii="仿宋_GB2312" w:hAnsi="宋体" w:eastAsia="仿宋_GB2312" w:cs="宋体"/>
                <w:kern w:val="0"/>
                <w:sz w:val="24"/>
              </w:rPr>
            </w:pPr>
            <w:r>
              <w:rPr>
                <w:rFonts w:hint="eastAsia" w:ascii="仿宋_GB2312" w:hAnsi="宋体" w:eastAsia="仿宋_GB2312" w:cs="宋体"/>
                <w:kern w:val="0"/>
                <w:sz w:val="24"/>
              </w:rPr>
              <w:t>按“租期5年以上”收费标准收取</w:t>
            </w:r>
          </w:p>
        </w:tc>
      </w:tr>
    </w:tbl>
    <w:p w14:paraId="3D2A6668">
      <w:pPr>
        <w:widowControl/>
        <w:jc w:val="left"/>
        <w:rPr>
          <w:rFonts w:ascii="宋体" w:hAnsi="宋体" w:cs="宋体"/>
          <w:kern w:val="0"/>
          <w:sz w:val="24"/>
        </w:rPr>
      </w:pPr>
      <w:r>
        <w:rPr>
          <w:rFonts w:hint="eastAsia" w:ascii="宋体" w:hAnsi="宋体" w:cs="宋体"/>
          <w:kern w:val="0"/>
          <w:sz w:val="16"/>
          <w:szCs w:val="16"/>
        </w:rPr>
        <w:br w:type="textWrapping"/>
      </w:r>
    </w:p>
    <w:p w14:paraId="50054AF2">
      <w:pPr>
        <w:widowControl/>
        <w:jc w:val="left"/>
        <w:rPr>
          <w:rFonts w:ascii="仿宋_GB2312" w:hAnsi="宋体" w:eastAsia="仿宋_GB2312" w:cs="宋体"/>
          <w:kern w:val="0"/>
          <w:sz w:val="24"/>
        </w:rPr>
      </w:pPr>
      <w:r>
        <w:rPr>
          <w:rFonts w:hint="eastAsia" w:ascii="仿宋_GB2312" w:hAnsi="宋体" w:eastAsia="仿宋_GB2312" w:cs="宋体"/>
          <w:kern w:val="0"/>
          <w:sz w:val="24"/>
        </w:rPr>
        <w:t> 注：交易服务费最高为一个月租金。</w:t>
      </w:r>
    </w:p>
    <w:p w14:paraId="2A61AA40">
      <w:pPr>
        <w:widowControl/>
        <w:jc w:val="left"/>
        <w:rPr>
          <w:rFonts w:ascii="仿宋_GB2312" w:hAnsi="宋体" w:eastAsia="仿宋_GB2312" w:cs="宋体"/>
          <w:kern w:val="0"/>
          <w:sz w:val="24"/>
        </w:rPr>
      </w:pPr>
      <w:r>
        <w:rPr>
          <w:rFonts w:hint="eastAsia" w:ascii="仿宋_GB2312" w:hAnsi="宋体" w:eastAsia="仿宋_GB2312" w:cs="宋体"/>
          <w:kern w:val="0"/>
          <w:sz w:val="24"/>
        </w:rPr>
        <w:t>    （二）租期5年以上：</w:t>
      </w:r>
    </w:p>
    <w:p w14:paraId="5101F4A0">
      <w:pPr>
        <w:widowControl/>
        <w:ind w:firstLine="640"/>
        <w:jc w:val="left"/>
        <w:rPr>
          <w:rFonts w:ascii="仿宋_GB2312" w:hAnsi="宋体" w:eastAsia="仿宋_GB2312" w:cs="宋体"/>
          <w:kern w:val="0"/>
          <w:sz w:val="16"/>
          <w:szCs w:val="16"/>
        </w:rPr>
      </w:pPr>
      <w:r>
        <w:rPr>
          <w:rFonts w:hint="eastAsia" w:ascii="仿宋_GB2312" w:hAnsi="宋体" w:eastAsia="仿宋_GB2312" w:cs="宋体"/>
          <w:kern w:val="0"/>
          <w:sz w:val="24"/>
        </w:rPr>
        <w:t>以租赁年限内的租金总额为基数，按《泉州市产权交易中心产权交易收费标准》收取，交易服务费最高为一个月租金。 </w:t>
      </w:r>
      <w:r>
        <w:rPr>
          <w:rFonts w:hint="eastAsia" w:ascii="仿宋_GB2312" w:hAnsi="宋体" w:eastAsia="仿宋_GB2312" w:cs="宋体"/>
          <w:kern w:val="0"/>
          <w:sz w:val="16"/>
          <w:szCs w:val="16"/>
        </w:rPr>
        <w:t> </w:t>
      </w:r>
    </w:p>
    <w:p w14:paraId="5D770473">
      <w:pPr>
        <w:widowControl/>
        <w:ind w:firstLine="640"/>
        <w:jc w:val="left"/>
        <w:rPr>
          <w:rFonts w:ascii="仿宋_GB2312" w:hAnsi="宋体" w:eastAsia="仿宋_GB2312" w:cs="宋体"/>
          <w:kern w:val="0"/>
          <w:sz w:val="16"/>
          <w:szCs w:val="16"/>
        </w:rPr>
      </w:pPr>
    </w:p>
    <w:p w14:paraId="4B01B6AD">
      <w:pPr>
        <w:widowControl/>
        <w:ind w:firstLine="64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泉州市产权交易中心产权交易收费标准</w:t>
      </w:r>
    </w:p>
    <w:p w14:paraId="76192B66">
      <w:pPr>
        <w:widowControl/>
        <w:ind w:firstLine="640"/>
        <w:jc w:val="center"/>
        <w:rPr>
          <w:rFonts w:ascii="仿宋_GB2312" w:hAnsi="宋体" w:eastAsia="仿宋_GB2312" w:cs="宋体"/>
          <w:kern w:val="0"/>
          <w:sz w:val="18"/>
          <w:szCs w:val="18"/>
        </w:rPr>
      </w:pPr>
    </w:p>
    <w:tbl>
      <w:tblPr>
        <w:tblStyle w:val="22"/>
        <w:tblW w:w="0" w:type="auto"/>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3953"/>
        <w:gridCol w:w="2835"/>
      </w:tblGrid>
      <w:tr w14:paraId="6193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93" w:type="dxa"/>
            <w:gridSpan w:val="2"/>
          </w:tcPr>
          <w:p w14:paraId="510BDC0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交易合同成交金额</w:t>
            </w:r>
          </w:p>
        </w:tc>
        <w:tc>
          <w:tcPr>
            <w:tcW w:w="2835" w:type="dxa"/>
          </w:tcPr>
          <w:p w14:paraId="673CA5C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费率</w:t>
            </w:r>
          </w:p>
        </w:tc>
      </w:tr>
      <w:tr w14:paraId="6F3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0075880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3953" w:type="dxa"/>
          </w:tcPr>
          <w:p w14:paraId="2C074CD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100万元以下（含100万元）</w:t>
            </w:r>
          </w:p>
        </w:tc>
        <w:tc>
          <w:tcPr>
            <w:tcW w:w="2835" w:type="dxa"/>
          </w:tcPr>
          <w:p w14:paraId="0C97FEA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r>
      <w:tr w14:paraId="6B2C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23701CE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3953" w:type="dxa"/>
          </w:tcPr>
          <w:p w14:paraId="6F5E3AE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100-200万元部分（含200万元）</w:t>
            </w:r>
          </w:p>
        </w:tc>
        <w:tc>
          <w:tcPr>
            <w:tcW w:w="2835" w:type="dxa"/>
          </w:tcPr>
          <w:p w14:paraId="63AF134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r>
      <w:tr w14:paraId="0A6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0E506CE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3953" w:type="dxa"/>
          </w:tcPr>
          <w:p w14:paraId="70176241">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200-500万元部分（含500万元）</w:t>
            </w:r>
          </w:p>
        </w:tc>
        <w:tc>
          <w:tcPr>
            <w:tcW w:w="2835" w:type="dxa"/>
          </w:tcPr>
          <w:p w14:paraId="156BC7D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w:t>
            </w:r>
          </w:p>
        </w:tc>
      </w:tr>
      <w:tr w14:paraId="632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4178AB7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3953" w:type="dxa"/>
          </w:tcPr>
          <w:p w14:paraId="291E06D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500-1000万元部分（含1000万元）</w:t>
            </w:r>
          </w:p>
        </w:tc>
        <w:tc>
          <w:tcPr>
            <w:tcW w:w="2835" w:type="dxa"/>
          </w:tcPr>
          <w:p w14:paraId="0ABA827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r>
      <w:tr w14:paraId="5647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1ACCE9D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3953" w:type="dxa"/>
          </w:tcPr>
          <w:p w14:paraId="5A78D177">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1000-3000万元部分（含3000万元）</w:t>
            </w:r>
          </w:p>
        </w:tc>
        <w:tc>
          <w:tcPr>
            <w:tcW w:w="2835" w:type="dxa"/>
          </w:tcPr>
          <w:p w14:paraId="61E7E81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0.6%</w:t>
            </w:r>
          </w:p>
        </w:tc>
      </w:tr>
      <w:tr w14:paraId="462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66F881A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3953" w:type="dxa"/>
          </w:tcPr>
          <w:p w14:paraId="3EDBB2F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3000万元以上</w:t>
            </w:r>
          </w:p>
        </w:tc>
        <w:tc>
          <w:tcPr>
            <w:tcW w:w="2835" w:type="dxa"/>
          </w:tcPr>
          <w:p w14:paraId="2F2604F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0.3%</w:t>
            </w:r>
          </w:p>
        </w:tc>
      </w:tr>
    </w:tbl>
    <w:p w14:paraId="1A13D1B1">
      <w:pPr>
        <w:widowControl/>
        <w:ind w:firstLine="640"/>
        <w:jc w:val="left"/>
        <w:rPr>
          <w:rFonts w:ascii="仿宋_GB2312" w:hAnsi="宋体" w:eastAsia="仿宋_GB2312" w:cs="宋体"/>
          <w:kern w:val="0"/>
          <w:sz w:val="24"/>
        </w:rPr>
      </w:pPr>
      <w:r>
        <w:rPr>
          <w:rFonts w:hint="eastAsia" w:ascii="仿宋_GB2312" w:hAnsi="宋体" w:eastAsia="仿宋_GB2312" w:cs="宋体"/>
          <w:kern w:val="0"/>
          <w:sz w:val="24"/>
        </w:rPr>
        <w:t>注：交易服务费采用差额累进制计算。</w:t>
      </w:r>
    </w:p>
    <w:p w14:paraId="297BDEBA">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收费单位：泉州市产权交易中心有限公司</w:t>
      </w:r>
    </w:p>
    <w:p w14:paraId="5E7B9AC9">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收费性质：市场调节价</w:t>
      </w:r>
    </w:p>
    <w:p w14:paraId="07FEAE8A">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价格投诉举报电话：12315</w:t>
      </w:r>
    </w:p>
    <w:p w14:paraId="7D1B302E">
      <w:pPr>
        <w:widowControl/>
        <w:ind w:firstLine="640"/>
        <w:jc w:val="right"/>
        <w:rPr>
          <w:rFonts w:ascii="宋体" w:hAnsi="宋体" w:cs="宋体"/>
          <w:kern w:val="0"/>
          <w:sz w:val="16"/>
          <w:szCs w:val="16"/>
        </w:rPr>
      </w:pPr>
      <w:r>
        <w:rPr>
          <w:rFonts w:hint="eastAsia" w:ascii="仿宋_GB2312" w:hAnsi="宋体" w:eastAsia="仿宋_GB2312" w:cs="宋体"/>
          <w:b/>
          <w:bCs/>
          <w:kern w:val="0"/>
          <w:sz w:val="18"/>
          <w:szCs w:val="18"/>
        </w:rPr>
        <w:t>收费单位监督电话：0595-22591811</w:t>
      </w:r>
    </w:p>
    <w:p w14:paraId="28C0B912">
      <w:pPr>
        <w:pStyle w:val="2"/>
        <w:pageBreakBefore/>
        <w:jc w:val="center"/>
        <w:rPr>
          <w:rFonts w:asciiTheme="majorEastAsia" w:hAnsiTheme="majorEastAsia" w:eastAsiaTheme="majorEastAsia"/>
          <w:sz w:val="44"/>
          <w:szCs w:val="44"/>
          <w:lang w:eastAsia="zh-CN"/>
        </w:rPr>
      </w:pPr>
      <w:bookmarkStart w:id="7" w:name="_Toc25824626"/>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7"/>
    </w:p>
    <w:p w14:paraId="26AB86EF">
      <w:pPr>
        <w:adjustRightInd w:val="0"/>
        <w:snapToGrid w:val="0"/>
        <w:spacing w:line="460" w:lineRule="exact"/>
        <w:ind w:firstLine="2200" w:firstLineChars="500"/>
        <w:rPr>
          <w:rFonts w:ascii="黑体" w:hAnsi="黑体" w:eastAsia="黑体"/>
          <w:bCs/>
          <w:sz w:val="44"/>
          <w:szCs w:val="44"/>
        </w:rPr>
      </w:pPr>
      <w:r>
        <w:rPr>
          <w:rFonts w:hint="eastAsia" w:ascii="黑体" w:hAnsi="黑体" w:eastAsia="黑体"/>
          <w:bCs/>
          <w:sz w:val="44"/>
          <w:szCs w:val="44"/>
        </w:rPr>
        <w:t>房 屋 租 赁 合 同</w:t>
      </w:r>
    </w:p>
    <w:p w14:paraId="4485115E">
      <w:pPr>
        <w:adjustRightInd w:val="0"/>
        <w:snapToGrid w:val="0"/>
        <w:spacing w:line="400" w:lineRule="exact"/>
        <w:jc w:val="center"/>
        <w:rPr>
          <w:rFonts w:ascii="黑体" w:hAnsi="黑体" w:eastAsia="黑体"/>
          <w:bCs/>
          <w:sz w:val="36"/>
          <w:szCs w:val="36"/>
          <w:u w:val="single"/>
        </w:rPr>
      </w:pPr>
      <w:r>
        <w:rPr>
          <w:rFonts w:hint="eastAsia" w:ascii="仿宋_GB2312" w:hAnsi="楷体" w:eastAsia="仿宋_GB2312"/>
          <w:bCs/>
          <w:u w:val="single"/>
        </w:rPr>
        <w:t>（2013年1月修订）</w:t>
      </w:r>
    </w:p>
    <w:p w14:paraId="64AFF59A">
      <w:pPr>
        <w:adjustRightInd w:val="0"/>
        <w:snapToGrid w:val="0"/>
        <w:spacing w:line="400" w:lineRule="exact"/>
        <w:jc w:val="center"/>
        <w:rPr>
          <w:rFonts w:ascii="仿宋_GB2312" w:hAnsi="楷体" w:eastAsia="仿宋_GB2312"/>
          <w:bCs/>
          <w:sz w:val="24"/>
          <w:u w:val="single"/>
        </w:rPr>
      </w:pPr>
      <w:r>
        <w:rPr>
          <w:rFonts w:hint="eastAsia" w:ascii="仿宋_GB2312" w:hAnsi="楷体" w:eastAsia="仿宋_GB2312"/>
          <w:bCs/>
          <w:sz w:val="24"/>
          <w:u w:val="single"/>
        </w:rPr>
        <w:t>（市直行政事业单位通用文本）</w:t>
      </w:r>
    </w:p>
    <w:p w14:paraId="5FC73B86">
      <w:pPr>
        <w:adjustRightInd w:val="0"/>
        <w:snapToGrid w:val="0"/>
        <w:spacing w:line="420" w:lineRule="exact"/>
        <w:ind w:firstLine="5" w:firstLineChars="2"/>
        <w:rPr>
          <w:rFonts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rPr>
        <w:t>(以下简称甲方)</w:t>
      </w:r>
    </w:p>
    <w:p w14:paraId="2BD96497">
      <w:pPr>
        <w:adjustRightInd w:val="0"/>
        <w:snapToGrid w:val="0"/>
        <w:spacing w:line="420" w:lineRule="exact"/>
        <w:rPr>
          <w:rFonts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rPr>
        <w:t>(以下简称乙方)</w:t>
      </w:r>
    </w:p>
    <w:p w14:paraId="139EA90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根据《中华人民共和国民法典》及相关法律法规，为明确甲乙双方权责，双方在平等自愿的基础上，就房屋（含空地、场地等，下同）租赁事宜，经协商一致，特订立本合同。</w:t>
      </w:r>
    </w:p>
    <w:p w14:paraId="2014AC97">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第一条</w:t>
      </w:r>
      <w:r>
        <w:rPr>
          <w:rFonts w:hint="eastAsia" w:ascii="黑体" w:hAnsi="楷体" w:eastAsia="黑体"/>
          <w:bCs/>
          <w:sz w:val="24"/>
        </w:rPr>
        <w:t xml:space="preserve">  </w:t>
      </w:r>
      <w:r>
        <w:rPr>
          <w:rStyle w:val="52"/>
          <w:rFonts w:hint="eastAsia" w:ascii="黑体" w:hAnsi="黑体" w:eastAsia="黑体"/>
          <w:color w:val="333333"/>
          <w:sz w:val="24"/>
        </w:rPr>
        <w:t>出租房屋概况</w:t>
      </w:r>
      <w:r>
        <w:rPr>
          <w:rFonts w:hint="eastAsia" w:ascii="黑体" w:hAnsi="黑体" w:eastAsia="黑体"/>
          <w:bCs/>
          <w:sz w:val="24"/>
        </w:rPr>
        <w:t>：</w:t>
      </w:r>
    </w:p>
    <w:p w14:paraId="300E3E8C">
      <w:pPr>
        <w:adjustRightInd w:val="0"/>
        <w:snapToGrid w:val="0"/>
        <w:spacing w:line="420" w:lineRule="exact"/>
        <w:ind w:firstLine="480" w:firstLineChars="200"/>
        <w:jc w:val="left"/>
        <w:rPr>
          <w:rFonts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楷体"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楷体" w:hAnsi="楷体" w:eastAsia="楷体"/>
          <w:bCs/>
          <w:sz w:val="24"/>
          <w:u w:val="single"/>
        </w:rPr>
        <w:t>㎡</w:t>
      </w:r>
      <w:r>
        <w:rPr>
          <w:rFonts w:hint="eastAsia" w:ascii="楷体" w:hAnsi="楷体" w:eastAsia="楷体"/>
          <w:bCs/>
          <w:sz w:val="24"/>
        </w:rPr>
        <w:t>。</w:t>
      </w:r>
    </w:p>
    <w:p w14:paraId="299173D0">
      <w:pPr>
        <w:adjustRightInd w:val="0"/>
        <w:snapToGrid w:val="0"/>
        <w:spacing w:line="420" w:lineRule="exact"/>
        <w:ind w:firstLine="470" w:firstLineChars="196"/>
        <w:rPr>
          <w:rFonts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3F86023A">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第二条</w:t>
      </w:r>
      <w:r>
        <w:rPr>
          <w:rFonts w:hint="eastAsia" w:ascii="黑体" w:hAnsi="楷体" w:eastAsia="黑体"/>
          <w:bCs/>
          <w:sz w:val="24"/>
        </w:rPr>
        <w:t xml:space="preserve">  </w:t>
      </w:r>
      <w:r>
        <w:rPr>
          <w:rFonts w:hint="eastAsia" w:ascii="黑体" w:hAnsi="黑体" w:eastAsia="黑体"/>
          <w:bCs/>
          <w:sz w:val="24"/>
        </w:rPr>
        <w:t>租赁期限：</w:t>
      </w:r>
    </w:p>
    <w:p w14:paraId="0A9DA04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租赁期限为年,即自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78723582">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第三条</w:t>
      </w:r>
      <w:r>
        <w:rPr>
          <w:rFonts w:hint="eastAsia" w:ascii="黑体" w:hAnsi="楷体" w:eastAsia="黑体"/>
          <w:bCs/>
          <w:sz w:val="24"/>
        </w:rPr>
        <w:t xml:space="preserve">  </w:t>
      </w:r>
      <w:r>
        <w:rPr>
          <w:rFonts w:hint="eastAsia" w:ascii="黑体" w:hAnsi="黑体" w:eastAsia="黑体"/>
          <w:bCs/>
          <w:sz w:val="24"/>
        </w:rPr>
        <w:t>租赁用途：</w:t>
      </w:r>
    </w:p>
    <w:p w14:paraId="7B6D9468">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乙方承租该房屋仅作使用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58B3CD5C">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第四条</w:t>
      </w:r>
      <w:r>
        <w:rPr>
          <w:rFonts w:hint="eastAsia" w:ascii="黑体" w:hAnsi="楷体" w:eastAsia="黑体"/>
          <w:bCs/>
          <w:sz w:val="24"/>
        </w:rPr>
        <w:t xml:space="preserve">  </w:t>
      </w:r>
      <w:r>
        <w:rPr>
          <w:rFonts w:hint="eastAsia" w:ascii="黑体" w:hAnsi="黑体" w:eastAsia="黑体"/>
          <w:bCs/>
          <w:sz w:val="24"/>
        </w:rPr>
        <w:t>租赁费用及结算、支付方式：</w:t>
      </w:r>
    </w:p>
    <w:p w14:paraId="12E96D0E">
      <w:pPr>
        <w:adjustRightInd w:val="0"/>
        <w:snapToGrid w:val="0"/>
        <w:spacing w:line="420" w:lineRule="exact"/>
        <w:ind w:firstLine="470" w:firstLineChars="196"/>
        <w:rPr>
          <w:rFonts w:ascii="仿宋_GB2312" w:hAnsi="楷体" w:eastAsia="仿宋_GB2312"/>
          <w:bCs/>
          <w:sz w:val="24"/>
        </w:rPr>
      </w:pPr>
      <w:r>
        <w:rPr>
          <w:rFonts w:hint="eastAsia" w:ascii="仿宋_GB2312" w:hAnsi="楷体" w:eastAsia="仿宋_GB2312"/>
          <w:bCs/>
          <w:sz w:val="24"/>
        </w:rPr>
        <w:t>一、租金标准、结算及支付方式：</w:t>
      </w:r>
    </w:p>
    <w:p w14:paraId="6427072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 xml:space="preserve"> %（定比）。</w:t>
      </w:r>
    </w:p>
    <w:p w14:paraId="01649EB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r>
        <w:rPr>
          <w:rFonts w:hint="eastAsia" w:ascii="仿宋_GB2312" w:hAnsi="楷体" w:eastAsia="仿宋_GB2312"/>
          <w:sz w:val="24"/>
        </w:rPr>
        <w:t>租金结算按12个月为一个计付周期。</w:t>
      </w:r>
    </w:p>
    <w:p w14:paraId="796E4F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（三）第一次租金应在本合同签订前付清，以后各次租金应于每一个计付周期开始的五个日历日内汇入甲方指定账户（甲方指定账户单位名称：，开户银行：，账号： ）。</w:t>
      </w:r>
    </w:p>
    <w:p w14:paraId="069DDA8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10C6298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（一）乙方应按合同第一年的两个月租金（取百元位整数，即十位四舍五入）</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元整（￥）作为履约保证金，并于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6A340AD8">
      <w:pPr>
        <w:adjustRightInd w:val="0"/>
        <w:snapToGrid w:val="0"/>
        <w:spacing w:line="420" w:lineRule="exact"/>
        <w:ind w:firstLine="470" w:firstLineChars="196"/>
        <w:rPr>
          <w:rFonts w:ascii="仿宋_GB2312" w:hAnsi="楷体" w:eastAsia="仿宋_GB2312"/>
          <w:bCs/>
          <w:sz w:val="24"/>
        </w:rPr>
      </w:pPr>
      <w:r>
        <w:rPr>
          <w:rFonts w:hint="eastAsia" w:ascii="仿宋_GB2312" w:hAnsi="楷体" w:eastAsia="仿宋_GB2312"/>
          <w:sz w:val="24"/>
        </w:rPr>
        <w:t>（二）履约保证金不计利息。</w:t>
      </w:r>
    </w:p>
    <w:p w14:paraId="55F7C1C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合同终止，乙方完成本合同第七条约定内容且无任何违约和欠费、税等行为，甲方应于合同终止后三十个工作日内如数返还履约保证金。乙方退履约保证金时需提供房屋租赁合同复印件、履约保证金缴纳凭证、租赁期间房屋租金缴纳凭证和水电费缴纳凭证，乙方存在违约行为的，甲方有权结合乙方的违约行为，依照本合同约定在乙方履约保证金中予以扣除；乙方严重违约，甲方有权没收乙方履约保证金。甲方须扣除乙方部分履约保证金或没收乙方履约保证金的，应当函告乙方。</w:t>
      </w:r>
    </w:p>
    <w:p w14:paraId="62A0963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三、税费负担：</w:t>
      </w:r>
    </w:p>
    <w:p w14:paraId="6F78E61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6617B96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期间，与乙方生产经营、使用有关的营业税、物业管理费等均由乙方承担，由乙方向相关部门交纳。乙方每月的水电费按实际产生数额交给甲方，具体流程为：在每月初经甲方后勤部门抄表上个月用电用水度数并通知乙方缴纳后，乙方应当在接到水电费缴费通知后五日内向甲方财务部门付清应交水电费用。</w:t>
      </w:r>
    </w:p>
    <w:p w14:paraId="612146A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（三）在租赁期间，乙方中途擅自退租的，租赁房屋产权有关的房产税等相关税费由乙方承担。</w:t>
      </w:r>
    </w:p>
    <w:p w14:paraId="00A68EEB">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第五条</w:t>
      </w:r>
      <w:r>
        <w:rPr>
          <w:rFonts w:hint="eastAsia" w:ascii="黑体" w:hAnsi="楷体" w:eastAsia="黑体"/>
          <w:bCs/>
          <w:sz w:val="24"/>
        </w:rPr>
        <w:t xml:space="preserve">  </w:t>
      </w:r>
      <w:r>
        <w:rPr>
          <w:rFonts w:hint="eastAsia" w:ascii="黑体" w:hAnsi="黑体" w:eastAsia="黑体"/>
          <w:sz w:val="24"/>
        </w:rPr>
        <w:t>房屋的交付及验收：</w:t>
      </w:r>
    </w:p>
    <w:p w14:paraId="7B898C2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40DB7BE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49F73308">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第六条</w:t>
      </w:r>
      <w:r>
        <w:rPr>
          <w:rFonts w:hint="eastAsia" w:ascii="黑体" w:hAnsi="楷体" w:eastAsia="黑体"/>
          <w:bCs/>
          <w:sz w:val="24"/>
        </w:rPr>
        <w:t xml:space="preserve">  </w:t>
      </w:r>
      <w:r>
        <w:rPr>
          <w:rFonts w:hint="eastAsia" w:ascii="黑体" w:hAnsi="黑体" w:eastAsia="黑体"/>
          <w:bCs/>
          <w:sz w:val="24"/>
        </w:rPr>
        <w:t>房屋维护与修缮：</w:t>
      </w:r>
    </w:p>
    <w:p w14:paraId="4B1930A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一、乙方的装修方案需书面经甲方同意，在</w:t>
      </w:r>
      <w:r>
        <w:rPr>
          <w:rFonts w:hint="eastAsia" w:ascii="仿宋_GB2312" w:hAnsi="楷体" w:eastAsia="仿宋_GB2312"/>
          <w:color w:val="000000"/>
          <w:sz w:val="24"/>
        </w:rPr>
        <w:t>不影响房屋建筑安全性的前提下进行装修</w:t>
      </w:r>
      <w:r>
        <w:rPr>
          <w:rFonts w:hint="eastAsia" w:ascii="仿宋_GB2312" w:hAnsi="楷体" w:eastAsia="仿宋_GB2312"/>
          <w:sz w:val="24"/>
        </w:rPr>
        <w:t>（店铺门面广告牌应按甲方要求设置），费用由乙方自行承担。</w:t>
      </w:r>
    </w:p>
    <w:p w14:paraId="4A43893C">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p>
    <w:p w14:paraId="4335221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28850A49">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第七条</w:t>
      </w:r>
      <w:r>
        <w:rPr>
          <w:rFonts w:hint="eastAsia" w:ascii="黑体" w:hAnsi="楷体" w:eastAsia="黑体"/>
          <w:bCs/>
          <w:sz w:val="24"/>
        </w:rPr>
        <w:t xml:space="preserve">  </w:t>
      </w:r>
      <w:r>
        <w:rPr>
          <w:rFonts w:hint="eastAsia" w:ascii="黑体" w:hAnsi="黑体" w:eastAsia="黑体"/>
          <w:sz w:val="24"/>
        </w:rPr>
        <w:t>房屋的收回及验收：</w:t>
      </w:r>
    </w:p>
    <w:p w14:paraId="19930A8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07EF673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甲方进行维修、更换所产生的费用有权优先从履约保证金中支付。</w:t>
      </w:r>
    </w:p>
    <w:p w14:paraId="250AB39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5FC32A25">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第八条</w:t>
      </w:r>
      <w:r>
        <w:rPr>
          <w:rFonts w:hint="eastAsia" w:ascii="黑体" w:hAnsi="楷体" w:eastAsia="黑体"/>
          <w:sz w:val="24"/>
        </w:rPr>
        <w:t xml:space="preserve">  </w:t>
      </w:r>
      <w:r>
        <w:rPr>
          <w:rFonts w:hint="eastAsia" w:ascii="黑体" w:hAnsi="黑体" w:eastAsia="黑体"/>
          <w:sz w:val="24"/>
        </w:rPr>
        <w:t>双方的其他权利和义务：</w:t>
      </w:r>
    </w:p>
    <w:p w14:paraId="10662044">
      <w:pPr>
        <w:adjustRightInd w:val="0"/>
        <w:snapToGrid w:val="0"/>
        <w:spacing w:line="420" w:lineRule="exact"/>
        <w:ind w:firstLine="472" w:firstLineChars="196"/>
        <w:rPr>
          <w:rFonts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2E5B8C7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597DD379">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4F3077C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二、乙方的其他权利和义务：</w:t>
      </w:r>
    </w:p>
    <w:p w14:paraId="03DDAE13">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（一）乙方因生产、经营等需要，有权要求甲方出具所租赁房屋的权属证明文件</w:t>
      </w:r>
      <w:r>
        <w:rPr>
          <w:rFonts w:hint="eastAsia" w:ascii="仿宋_GB2312" w:hAnsi="楷体" w:eastAsia="仿宋_GB2312"/>
          <w:color w:val="FF0000"/>
          <w:sz w:val="24"/>
        </w:rPr>
        <w:t>。</w:t>
      </w:r>
    </w:p>
    <w:p w14:paraId="2BF301E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（二）乙方不得将所租房屋转租、转借他人使用。</w:t>
      </w:r>
    </w:p>
    <w:p w14:paraId="2BD193F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（三）乙方应遵纪守法，不得利用所租房屋进行非法活动。</w:t>
      </w:r>
    </w:p>
    <w:p w14:paraId="7E9E883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w:t>
      </w:r>
      <w:r>
        <w:rPr>
          <w:rFonts w:hint="eastAsia" w:ascii="仿宋_GB2312" w:hAnsi="楷体" w:eastAsia="仿宋_GB2312"/>
          <w:color w:val="000000"/>
          <w:sz w:val="24"/>
        </w:rPr>
        <w:t>不得乱拉电线私接电源，</w:t>
      </w:r>
      <w:r>
        <w:rPr>
          <w:rFonts w:hint="eastAsia" w:ascii="仿宋_GB2312" w:hAnsi="楷体" w:eastAsia="仿宋_GB2312"/>
          <w:sz w:val="24"/>
        </w:rPr>
        <w:t>乙方承担安全生产、用电、用气、防火防盗等事故责任，并对事故给甲方及其他相邻方等所造成的经济损失负赔偿责任。</w:t>
      </w:r>
    </w:p>
    <w:p w14:paraId="25D4DB4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（五）乙方不得占用公用面积或在公共区域内随意摆放物品，如有特殊需要，需提前向甲方提出书面申请，并经得甲方书面同意。</w:t>
      </w:r>
    </w:p>
    <w:p w14:paraId="2CE1E3A6">
      <w:pPr>
        <w:pStyle w:val="21"/>
        <w:adjustRightInd w:val="0"/>
        <w:snapToGrid w:val="0"/>
        <w:spacing w:before="0" w:beforeAutospacing="0" w:after="0" w:afterAutospacing="0" w:line="420" w:lineRule="exact"/>
        <w:ind w:firstLine="560"/>
        <w:rPr>
          <w:rFonts w:ascii="仿宋_GB2312" w:eastAsia="仿宋_GB2312"/>
        </w:rPr>
      </w:pPr>
      <w:r>
        <w:rPr>
          <w:rFonts w:hint="eastAsia" w:ascii="仿宋_GB2312" w:hAnsi="楷体" w:eastAsia="仿宋_GB2312"/>
        </w:rPr>
        <w:t>（六）</w:t>
      </w:r>
      <w:r>
        <w:rPr>
          <w:rFonts w:hint="eastAsia" w:ascii="仿宋_GB2312" w:eastAsia="仿宋_GB2312"/>
        </w:rPr>
        <w:t>乙方[禁止经营餐饮（咖啡、饮料、果汁、茶点外）、烟酒、网吧、酒吧、不准使用明火；禁止高危险、高污染、高噪音等行业入驻；严禁存放化工、易燃易爆等危险品]和甲方规定或要求不准售卖的商品和货物。 乙方要严格按照招租用途经营，不得私自加工食品售卖，如出现违规经营或超范围经营，经查实将处予人民币2000元/次的罚款，罚款在履约保证金中予以扣除。经甲方函告乙方，乙方拒不改正的，甲方有权单方解除本合同并没收乙方履约保证金。</w:t>
      </w:r>
    </w:p>
    <w:p w14:paraId="2D16D738">
      <w:pPr>
        <w:pStyle w:val="21"/>
        <w:adjustRightInd w:val="0"/>
        <w:snapToGrid w:val="0"/>
        <w:spacing w:before="0" w:beforeAutospacing="0" w:after="0" w:afterAutospacing="0" w:line="420" w:lineRule="exact"/>
        <w:ind w:firstLine="560"/>
        <w:rPr>
          <w:rFonts w:ascii="仿宋_GB2312" w:hAnsi="楷体" w:eastAsia="仿宋_GB2312"/>
          <w:color w:val="FF0000"/>
        </w:rPr>
      </w:pPr>
      <w:r>
        <w:rPr>
          <w:rFonts w:hint="eastAsia" w:ascii="仿宋_GB2312" w:eastAsia="仿宋_GB2312"/>
        </w:rPr>
        <w:t>（七）乙方对经营的设备，食品和货物的安全、租赁房屋的安全负有全部责任。如出现食品卫生安全问题、消防安全问题，乱拉电线私接电源，门前三包问题，经查实将处予人民币2000元/次的罚款，罚款在履约保证金中予以扣除,并于10个日历日内补齐履约保证金。</w:t>
      </w:r>
      <w:r>
        <w:rPr>
          <w:rFonts w:hint="eastAsia" w:ascii="仿宋_GB2312" w:hAnsi="楷体" w:eastAsia="仿宋_GB2312" w:cs="Times New Roman"/>
          <w:kern w:val="2"/>
        </w:rPr>
        <w:t>经甲方函告乙方，乙方拒不改正的，或因乙方卫生安全问题、消防安全问题，乱拉电线私接电源问题造成学生食物中毒、人员损伤、火灾事故的，甲方有权单方解除本合同并没收乙方履约保证金。</w:t>
      </w:r>
    </w:p>
    <w:p w14:paraId="745F783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（八）乙方全权处理客户的赔付、纠纷和投诉问题，并及时消除客户对甲方声誉造成的影响，乙方与客户的任何纠纷与甲方无关。</w:t>
      </w:r>
    </w:p>
    <w:p w14:paraId="05FA332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（九）租赁期满，乙方有意向继续承租的，应于租赁期届满前两个月书面通知甲方，在同等条件下乙方享有优先承租权；否则，视为乙方自动放弃续租及优先承租权。</w:t>
      </w:r>
    </w:p>
    <w:p w14:paraId="02AA131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十）乙方在原合同经营过程中存在不良商业信用的，违反甲方各项管理规定的；或在经营中多次存在食品安全卫生问题，消防安全问题，操作不规范不卫生的；或未按时缴纳水电费、租金的，乙方将不享有优先承租权。</w:t>
      </w:r>
    </w:p>
    <w:p w14:paraId="0477A9D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十一）乙方应在每学期营业前5日历日内将所经营项目的价格表，纸质版盖章报送一份给甲方留底备查。乙方不得随意变动经营价格，若有价格变动，应及时书面告知甲方并征得甲方书面同意，并及时报送新的价格表给甲方留底备查。</w:t>
      </w:r>
    </w:p>
    <w:p w14:paraId="157BFFDC">
      <w:pPr>
        <w:adjustRightInd w:val="0"/>
        <w:snapToGrid w:val="0"/>
        <w:spacing w:line="420" w:lineRule="exact"/>
        <w:ind w:firstLine="472" w:firstLineChars="196"/>
        <w:rPr>
          <w:rFonts w:ascii="仿宋_GB2312" w:hAnsi="楷体" w:eastAsia="仿宋_GB2312"/>
          <w:b/>
          <w:bCs/>
          <w:sz w:val="24"/>
        </w:rPr>
      </w:pPr>
      <w:r>
        <w:rPr>
          <w:rFonts w:hint="eastAsia" w:ascii="仿宋_GB2312" w:hAnsi="楷体" w:eastAsia="仿宋_GB2312"/>
          <w:b/>
          <w:bCs/>
          <w:sz w:val="24"/>
        </w:rPr>
        <w:t>（十二）乙方应办理中国民用航空局规定的相关许可证件，并得到低空飞行主管部门的批准，在校内营业期间出现的安全责任问题由乙方全权负责。</w:t>
      </w:r>
    </w:p>
    <w:p w14:paraId="4230BF9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第九条  合同的变更、解除与终止：</w:t>
      </w:r>
    </w:p>
    <w:p w14:paraId="07A1406C">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142A0EA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二、甲方有以下行为之一的，乙方有权单方解除本合同：</w:t>
      </w:r>
    </w:p>
    <w:p w14:paraId="0260960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（一）未能及时提供所出租的房屋，超过约定期限两个月的。</w:t>
      </w:r>
    </w:p>
    <w:p w14:paraId="54E9E5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3DFC5F4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三、乙方有下列行为之一的，甲方有权单方解除本合同、收回房屋并没收乙方履约保证金：</w:t>
      </w:r>
    </w:p>
    <w:p w14:paraId="403E109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（一）逾期两个月未支付租金、水电费或未支付租金、水电费数额达到应支付数额50 %的。</w:t>
      </w:r>
    </w:p>
    <w:p w14:paraId="41A2AB3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72BAB25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315DB28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08AE491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（五）损坏承租房屋，在甲方提出的合理期限内仍未修复的。</w:t>
      </w:r>
    </w:p>
    <w:p w14:paraId="563B7BCB">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6069446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w:t>
      </w:r>
    </w:p>
    <w:p w14:paraId="19C649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五、租赁期满，本合同约定的经济事项履行结束后自然终止。</w:t>
      </w:r>
    </w:p>
    <w:p w14:paraId="28ECE60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六、因不可抗力因素导致本合同无法履行的，本合同终止。</w:t>
      </w:r>
    </w:p>
    <w:p w14:paraId="5E8B2255">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第十条</w:t>
      </w:r>
      <w:r>
        <w:rPr>
          <w:rFonts w:hint="eastAsia" w:ascii="黑体" w:hAnsi="楷体" w:eastAsia="黑体"/>
          <w:bCs/>
          <w:sz w:val="24"/>
        </w:rPr>
        <w:t xml:space="preserve">  </w:t>
      </w:r>
      <w:r>
        <w:rPr>
          <w:rFonts w:hint="eastAsia" w:ascii="黑体" w:hAnsi="黑体" w:eastAsia="黑体"/>
          <w:bCs/>
          <w:sz w:val="24"/>
        </w:rPr>
        <w:t>双方的违约责任：</w:t>
      </w:r>
    </w:p>
    <w:p w14:paraId="38F1446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一、甲方的违约责任：</w:t>
      </w:r>
    </w:p>
    <w:p w14:paraId="09F94C4D">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因甲方过错不能提供本合同约定的房屋给乙方使用并解除本合同的，应支付乙方本合同租金总额10 %的违约金，并应赔偿因此给乙方造成的经济损失。</w:t>
      </w:r>
    </w:p>
    <w:p w14:paraId="733DEE4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7D4291E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租赁期间，乙方有本合同第九条第三款行为之一的，甲方有权单方解除本合同、收回该房屋并没收乙方履约保证金，乙方应按照本合同租金总额的10 %向甲方支付违约金，并应赔偿因此给甲方造成的经济损失。</w:t>
      </w:r>
    </w:p>
    <w:p w14:paraId="00F022B9">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（二）乙方逾期交付租金或接收到甲方水电费缴纳通知单5个日历日内未缴纳的，每逾期一日,乙方应按日向甲方支付所欠租金或水电费3 ‰的滞纳金。</w:t>
      </w:r>
    </w:p>
    <w:p w14:paraId="33973D01">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三）在租赁期内，未经甲方同意，乙方中途擅自退租的，乙方应按本合同第一年租金总额的10 %向甲方支付违约金，租金以实际租期结算,租期不足1个月的租金，按当年度每月30日的日平均租金计算，同时乙方应赔偿甲方解除合同另行招租的经济损失，该经济损失按照本合同第一年租金总额的10 %计算。</w:t>
      </w:r>
    </w:p>
    <w:p w14:paraId="5CA50202">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四）租赁终止，乙方逾期交还房屋，则应按日向甲方支付原日租金标准的房屋占用费；逾期交还房屋超过两个月的，除按原租金的双倍支付房屋占用费外，并赔偿因逾期交还房屋给甲方所造成的经济损失，甲方的经济损失按照本合同租金总额的10 %计算。</w:t>
      </w:r>
    </w:p>
    <w:p w14:paraId="72E6E1CA">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第十一条</w:t>
      </w:r>
      <w:r>
        <w:rPr>
          <w:rFonts w:hint="eastAsia" w:ascii="黑体" w:hAnsi="楷体" w:eastAsia="黑体"/>
          <w:bCs/>
          <w:sz w:val="24"/>
        </w:rPr>
        <w:t xml:space="preserve">  </w:t>
      </w:r>
      <w:r>
        <w:rPr>
          <w:rFonts w:hint="eastAsia" w:ascii="黑体" w:hAnsi="黑体" w:eastAsia="黑体"/>
          <w:sz w:val="24"/>
        </w:rPr>
        <w:t>免责条件：</w:t>
      </w:r>
    </w:p>
    <w:p w14:paraId="03A2DC3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4868E0F8">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二、因国家政策、市政府决策或学校办学发生变化；需要拆除改造或变更房屋归属和用途，导致本合同无法继续履行的，甲乙双方互不承担违约责任。</w:t>
      </w:r>
    </w:p>
    <w:p w14:paraId="2D23357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02561E9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2188DCCA">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第十二条</w:t>
      </w:r>
      <w:r>
        <w:rPr>
          <w:rFonts w:hint="eastAsia" w:ascii="黑体" w:hAnsi="楷体" w:eastAsia="黑体"/>
          <w:sz w:val="24"/>
        </w:rPr>
        <w:t xml:space="preserve">  </w:t>
      </w:r>
      <w:r>
        <w:rPr>
          <w:rFonts w:hint="eastAsia" w:ascii="黑体" w:hAnsi="黑体" w:eastAsia="黑体"/>
          <w:sz w:val="24"/>
        </w:rPr>
        <w:t>争议解决办法：</w:t>
      </w:r>
    </w:p>
    <w:p w14:paraId="2F7D588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本合同项下发生的争议，由双方当事人协商解决或申请调解；协商或调解不成的，由租赁房屋所在地人民法院诉讼解决。</w:t>
      </w:r>
    </w:p>
    <w:p w14:paraId="525DB948">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第十三条</w:t>
      </w:r>
      <w:r>
        <w:rPr>
          <w:rFonts w:hint="eastAsia" w:ascii="黑体" w:hAnsi="楷体" w:eastAsia="黑体"/>
          <w:sz w:val="24"/>
        </w:rPr>
        <w:t xml:space="preserve">  </w:t>
      </w:r>
      <w:r>
        <w:rPr>
          <w:rFonts w:hint="eastAsia" w:ascii="黑体" w:hAnsi="黑体" w:eastAsia="黑体"/>
          <w:bCs/>
          <w:sz w:val="24"/>
        </w:rPr>
        <w:t>其他事项：</w:t>
      </w:r>
    </w:p>
    <w:p w14:paraId="39ABBA2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w:t>
      </w:r>
    </w:p>
    <w:p w14:paraId="2D19BE1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w:t>
      </w:r>
    </w:p>
    <w:p w14:paraId="65B9B81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w:t>
      </w:r>
    </w:p>
    <w:p w14:paraId="462C6A27">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第十四条</w:t>
      </w:r>
      <w:r>
        <w:rPr>
          <w:rFonts w:hint="eastAsia" w:ascii="黑体" w:hAnsi="楷体" w:eastAsia="黑体"/>
          <w:sz w:val="24"/>
        </w:rPr>
        <w:t xml:space="preserve">  </w:t>
      </w:r>
      <w:r>
        <w:rPr>
          <w:rFonts w:hint="eastAsia" w:ascii="黑体" w:hAnsi="黑体" w:eastAsia="黑体"/>
          <w:sz w:val="24"/>
        </w:rPr>
        <w:t>附则：</w:t>
      </w:r>
    </w:p>
    <w:p w14:paraId="129C833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653D413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二、本合同自签订之日起生效；本合同（含附件《现有装修及设施、设备情况清单》一份）正本一式两份，双方各执一份；副本份，分送市财政局、市</w:t>
      </w:r>
      <w:r>
        <w:rPr>
          <w:rFonts w:hint="eastAsia" w:ascii="仿宋_GB2312" w:hAnsi="楷体" w:eastAsia="仿宋_GB2312"/>
          <w:sz w:val="24"/>
          <w:u w:val="single"/>
        </w:rPr>
        <w:t xml:space="preserve">               （单位主管部门）</w:t>
      </w:r>
      <w:r>
        <w:rPr>
          <w:rFonts w:hint="eastAsia" w:ascii="仿宋_GB2312" w:hAnsi="楷体" w:eastAsia="仿宋_GB2312"/>
          <w:sz w:val="24"/>
        </w:rPr>
        <w:t>备案。</w:t>
      </w:r>
    </w:p>
    <w:p w14:paraId="29DE5DE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 xml:space="preserve"> </w:t>
      </w:r>
    </w:p>
    <w:p w14:paraId="40EC669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附件：《现有装修及设施、设备情况清单》一份。</w:t>
      </w:r>
    </w:p>
    <w:p w14:paraId="66D7D94E">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72305E03">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37D75198">
      <w:pPr>
        <w:adjustRightInd w:val="0"/>
        <w:snapToGrid w:val="0"/>
        <w:spacing w:line="420" w:lineRule="exact"/>
        <w:rPr>
          <w:rFonts w:ascii="仿宋_GB2312" w:hAnsi="楷体" w:eastAsia="仿宋_GB2312"/>
          <w:sz w:val="24"/>
        </w:rPr>
      </w:pPr>
      <w:r>
        <w:rPr>
          <w:rFonts w:hint="eastAsia" w:ascii="仿宋_GB2312" w:hAnsi="楷体" w:eastAsia="仿宋_GB2312"/>
          <w:sz w:val="24"/>
        </w:rPr>
        <w:t>甲方（盖章）：</w:t>
      </w:r>
    </w:p>
    <w:p w14:paraId="3BB2A93F">
      <w:pPr>
        <w:adjustRightInd w:val="0"/>
        <w:snapToGrid w:val="0"/>
        <w:spacing w:line="420" w:lineRule="exact"/>
        <w:rPr>
          <w:rFonts w:ascii="仿宋_GB2312" w:hAnsi="楷体" w:eastAsia="仿宋_GB2312"/>
          <w:sz w:val="24"/>
        </w:rPr>
      </w:pPr>
      <w:r>
        <w:rPr>
          <w:rFonts w:hint="eastAsia" w:ascii="仿宋_GB2312" w:hAnsi="楷体" w:eastAsia="仿宋_GB2312"/>
          <w:sz w:val="24"/>
        </w:rPr>
        <w:t>法定代表人（签字）：</w:t>
      </w:r>
    </w:p>
    <w:p w14:paraId="3ED19987">
      <w:pPr>
        <w:adjustRightInd w:val="0"/>
        <w:snapToGrid w:val="0"/>
        <w:spacing w:line="420" w:lineRule="exact"/>
        <w:rPr>
          <w:rFonts w:ascii="仿宋_GB2312" w:hAnsi="楷体" w:eastAsia="仿宋_GB2312"/>
          <w:b/>
          <w:sz w:val="24"/>
        </w:rPr>
      </w:pPr>
      <w:r>
        <w:rPr>
          <w:rFonts w:hint="eastAsia" w:ascii="仿宋_GB2312" w:hAnsi="楷体" w:eastAsia="仿宋_GB2312"/>
          <w:sz w:val="24"/>
        </w:rPr>
        <w:t>联系地址：</w:t>
      </w:r>
    </w:p>
    <w:p w14:paraId="64B291F9">
      <w:pPr>
        <w:adjustRightInd w:val="0"/>
        <w:snapToGrid w:val="0"/>
        <w:spacing w:line="420" w:lineRule="exact"/>
        <w:rPr>
          <w:rFonts w:ascii="仿宋_GB2312" w:hAnsi="楷体" w:eastAsia="仿宋_GB2312"/>
          <w:sz w:val="24"/>
          <w:u w:val="single"/>
        </w:rPr>
      </w:pPr>
      <w:r>
        <w:rPr>
          <w:rFonts w:hint="eastAsia" w:ascii="仿宋_GB2312" w:hAnsi="楷体" w:eastAsia="仿宋_GB2312"/>
          <w:sz w:val="24"/>
        </w:rPr>
        <w:t>联系电话：邮政编码：</w:t>
      </w:r>
    </w:p>
    <w:p w14:paraId="2D395D98">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39611D53">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5D080CD6">
      <w:pPr>
        <w:adjustRightInd w:val="0"/>
        <w:snapToGrid w:val="0"/>
        <w:spacing w:line="420" w:lineRule="exact"/>
        <w:rPr>
          <w:rFonts w:ascii="仿宋_GB2312" w:hAnsi="楷体" w:eastAsia="仿宋_GB2312"/>
          <w:sz w:val="24"/>
        </w:rPr>
      </w:pPr>
      <w:r>
        <w:rPr>
          <w:rFonts w:hint="eastAsia" w:ascii="仿宋_GB2312" w:hAnsi="楷体" w:eastAsia="仿宋_GB2312"/>
          <w:sz w:val="24"/>
        </w:rPr>
        <w:t>乙方（盖章）：</w:t>
      </w:r>
    </w:p>
    <w:p w14:paraId="0A8B4AAA">
      <w:pPr>
        <w:adjustRightInd w:val="0"/>
        <w:snapToGrid w:val="0"/>
        <w:spacing w:line="420" w:lineRule="exact"/>
        <w:rPr>
          <w:rFonts w:ascii="仿宋_GB2312" w:hAnsi="楷体" w:eastAsia="仿宋_GB2312"/>
          <w:sz w:val="24"/>
          <w:u w:val="single"/>
        </w:rPr>
      </w:pPr>
      <w:r>
        <w:rPr>
          <w:rFonts w:hint="eastAsia" w:ascii="仿宋_GB2312" w:hAnsi="楷体" w:eastAsia="仿宋_GB2312"/>
          <w:sz w:val="24"/>
        </w:rPr>
        <w:t>法定代表人（签字）：</w:t>
      </w:r>
    </w:p>
    <w:p w14:paraId="0333A547">
      <w:pPr>
        <w:adjustRightInd w:val="0"/>
        <w:snapToGrid w:val="0"/>
        <w:spacing w:line="420" w:lineRule="exact"/>
        <w:rPr>
          <w:rFonts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0457C149">
      <w:pPr>
        <w:adjustRightInd w:val="0"/>
        <w:snapToGrid w:val="0"/>
        <w:spacing w:line="420" w:lineRule="exact"/>
        <w:rPr>
          <w:rFonts w:ascii="仿宋_GB2312" w:hAnsi="楷体" w:eastAsia="仿宋_GB2312"/>
          <w:b/>
          <w:sz w:val="24"/>
        </w:rPr>
      </w:pPr>
      <w:r>
        <w:rPr>
          <w:rFonts w:hint="eastAsia" w:ascii="仿宋_GB2312" w:hAnsi="楷体" w:eastAsia="仿宋_GB2312"/>
          <w:sz w:val="24"/>
        </w:rPr>
        <w:t>联系地址：</w:t>
      </w:r>
    </w:p>
    <w:p w14:paraId="34C95974">
      <w:pPr>
        <w:adjustRightInd w:val="0"/>
        <w:snapToGrid w:val="0"/>
        <w:spacing w:line="420" w:lineRule="exact"/>
        <w:rPr>
          <w:rFonts w:ascii="仿宋_GB2312" w:hAnsi="楷体" w:eastAsia="仿宋_GB2312"/>
          <w:sz w:val="24"/>
        </w:rPr>
      </w:pPr>
      <w:r>
        <w:rPr>
          <w:rFonts w:hint="eastAsia" w:ascii="仿宋_GB2312" w:hAnsi="楷体" w:eastAsia="仿宋_GB2312"/>
          <w:sz w:val="24"/>
        </w:rPr>
        <w:t>联系电话：邮政编码：</w:t>
      </w:r>
    </w:p>
    <w:p w14:paraId="382BF01C">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62F5E88F">
      <w:pPr>
        <w:adjustRightInd w:val="0"/>
        <w:snapToGrid w:val="0"/>
        <w:spacing w:line="420" w:lineRule="exact"/>
        <w:ind w:firstLine="5644" w:firstLineChars="2352"/>
        <w:rPr>
          <w:rFonts w:ascii="仿宋_GB2312" w:hAnsi="楷体" w:eastAsia="仿宋_GB2312"/>
          <w:sz w:val="24"/>
        </w:rPr>
      </w:pPr>
      <w:r>
        <w:rPr>
          <w:rFonts w:hint="eastAsia" w:ascii="仿宋_GB2312" w:hAnsi="楷体" w:eastAsia="仿宋_GB2312"/>
          <w:sz w:val="24"/>
        </w:rPr>
        <w:t>年月日</w:t>
      </w:r>
    </w:p>
    <w:p w14:paraId="418C9409">
      <w:pPr>
        <w:adjustRightInd w:val="0"/>
        <w:snapToGrid w:val="0"/>
        <w:spacing w:line="420" w:lineRule="exact"/>
        <w:ind w:firstLine="3120" w:firstLineChars="1300"/>
        <w:rPr>
          <w:rFonts w:ascii="仿宋_GB2312" w:hAnsi="楷体" w:eastAsia="仿宋_GB2312"/>
          <w:sz w:val="24"/>
        </w:rPr>
      </w:pPr>
      <w:r>
        <w:rPr>
          <w:rFonts w:hint="eastAsia" w:ascii="仿宋_GB2312" w:hAnsi="楷体" w:eastAsia="仿宋_GB2312"/>
          <w:sz w:val="24"/>
        </w:rPr>
        <w:t>签于泉州市区路（街）号大厦</w:t>
      </w:r>
    </w:p>
    <w:p w14:paraId="589D404E">
      <w:pPr>
        <w:adjustRightInd w:val="0"/>
        <w:snapToGrid w:val="0"/>
        <w:spacing w:line="400" w:lineRule="exact"/>
        <w:rPr>
          <w:rFonts w:ascii="仿宋_GB2312" w:hAnsi="楷体" w:eastAsia="仿宋_GB2312"/>
          <w:sz w:val="24"/>
        </w:rPr>
      </w:pPr>
      <w:r>
        <w:rPr>
          <w:rFonts w:hint="eastAsia" w:ascii="仿宋_GB2312" w:hAnsi="楷体" w:eastAsia="仿宋_GB2312"/>
          <w:sz w:val="24"/>
        </w:rPr>
        <w:t xml:space="preserve"> </w:t>
      </w:r>
    </w:p>
    <w:p w14:paraId="1E08757B">
      <w:pPr>
        <w:adjustRightInd w:val="0"/>
        <w:snapToGrid w:val="0"/>
        <w:spacing w:line="400" w:lineRule="exact"/>
        <w:ind w:firstLine="472" w:firstLineChars="196"/>
        <w:rPr>
          <w:rFonts w:ascii="仿宋_GB2312" w:hAnsi="楷体" w:eastAsia="仿宋_GB2312"/>
          <w:b/>
          <w:sz w:val="24"/>
        </w:rPr>
      </w:pPr>
    </w:p>
    <w:p w14:paraId="1B904C90">
      <w:pPr>
        <w:adjustRightInd w:val="0"/>
        <w:snapToGrid w:val="0"/>
        <w:spacing w:line="400" w:lineRule="exact"/>
        <w:ind w:firstLine="472" w:firstLineChars="196"/>
        <w:rPr>
          <w:rFonts w:ascii="仿宋_GB2312" w:hAnsi="楷体" w:eastAsia="仿宋_GB2312"/>
          <w:b/>
          <w:sz w:val="24"/>
        </w:rPr>
      </w:pPr>
      <w:r>
        <w:rPr>
          <w:rFonts w:hint="eastAsia" w:ascii="仿宋_GB2312" w:hAnsi="楷体" w:eastAsia="仿宋_GB2312"/>
          <w:b/>
          <w:sz w:val="24"/>
        </w:rPr>
        <w:t>填写说明：</w:t>
      </w:r>
    </w:p>
    <w:p w14:paraId="5B7A156B">
      <w:pPr>
        <w:adjustRightInd w:val="0"/>
        <w:snapToGrid w:val="0"/>
        <w:spacing w:line="400" w:lineRule="exact"/>
        <w:ind w:left="429"/>
        <w:rPr>
          <w:rFonts w:ascii="仿宋_GB2312" w:hAnsi="楷体" w:eastAsia="仿宋_GB2312"/>
          <w:sz w:val="24"/>
        </w:rPr>
      </w:pPr>
      <w:r>
        <w:rPr>
          <w:rFonts w:hint="eastAsia" w:ascii="仿宋_GB2312" w:hAnsi="楷体" w:eastAsia="仿宋_GB2312"/>
          <w:sz w:val="24"/>
        </w:rPr>
        <w:t>1、下划线上方没有文字的，根据实际情况填写；</w:t>
      </w:r>
    </w:p>
    <w:p w14:paraId="717222B0">
      <w:pPr>
        <w:rPr>
          <w:szCs w:val="21"/>
        </w:rPr>
      </w:pPr>
      <w:r>
        <w:rPr>
          <w:rFonts w:hint="eastAsia" w:ascii="仿宋_GB2312" w:hAnsi="楷体" w:eastAsia="仿宋_GB2312"/>
          <w:sz w:val="24"/>
        </w:rPr>
        <w:t>2、下划线上方有文字的，应根据实际情况进行修改、删除。</w:t>
      </w:r>
    </w:p>
    <w:p w14:paraId="32D8EA2D">
      <w:pPr>
        <w:spacing w:line="300" w:lineRule="exact"/>
        <w:ind w:right="281" w:rightChars="134"/>
        <w:rPr>
          <w:u w:val="single"/>
        </w:rPr>
      </w:pPr>
    </w:p>
    <w:sectPr>
      <w:headerReference r:id="rId4" w:type="first"/>
      <w:footerReference r:id="rId5"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272D0BED">
            <w:pPr>
              <w:pStyle w:val="1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5CEF51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626D">
    <w:pPr>
      <w:pStyle w:val="15"/>
    </w:pPr>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2C13">
    <w:pPr>
      <w:pStyle w:val="15"/>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xYjhiMDJhYWQ0MGZmZWRkYzRmOGM4YWY5MWMwYTkifQ=="/>
  </w:docVars>
  <w:rsids>
    <w:rsidRoot w:val="00766C83"/>
    <w:rsid w:val="00001A63"/>
    <w:rsid w:val="00003835"/>
    <w:rsid w:val="00012184"/>
    <w:rsid w:val="0001399B"/>
    <w:rsid w:val="00022DC6"/>
    <w:rsid w:val="00026AAB"/>
    <w:rsid w:val="00030BBB"/>
    <w:rsid w:val="00033058"/>
    <w:rsid w:val="000411D5"/>
    <w:rsid w:val="00042BEB"/>
    <w:rsid w:val="00046683"/>
    <w:rsid w:val="00046BA0"/>
    <w:rsid w:val="000503F6"/>
    <w:rsid w:val="000526EF"/>
    <w:rsid w:val="00053A6C"/>
    <w:rsid w:val="00053EFF"/>
    <w:rsid w:val="000543A4"/>
    <w:rsid w:val="00055781"/>
    <w:rsid w:val="000567C8"/>
    <w:rsid w:val="00057391"/>
    <w:rsid w:val="00072AFE"/>
    <w:rsid w:val="00073FF5"/>
    <w:rsid w:val="000818F7"/>
    <w:rsid w:val="0008290A"/>
    <w:rsid w:val="000829D8"/>
    <w:rsid w:val="00097C5D"/>
    <w:rsid w:val="000A1810"/>
    <w:rsid w:val="000A1DF8"/>
    <w:rsid w:val="000A1FFC"/>
    <w:rsid w:val="000A390D"/>
    <w:rsid w:val="000B0E3A"/>
    <w:rsid w:val="000C041C"/>
    <w:rsid w:val="000C3DF0"/>
    <w:rsid w:val="000C76EE"/>
    <w:rsid w:val="000D2524"/>
    <w:rsid w:val="000D3CE4"/>
    <w:rsid w:val="000D6632"/>
    <w:rsid w:val="000D7ADC"/>
    <w:rsid w:val="000E7FD0"/>
    <w:rsid w:val="000F44F9"/>
    <w:rsid w:val="000F4BCD"/>
    <w:rsid w:val="000F7021"/>
    <w:rsid w:val="00101261"/>
    <w:rsid w:val="00104A65"/>
    <w:rsid w:val="0010778D"/>
    <w:rsid w:val="001077F9"/>
    <w:rsid w:val="0011455D"/>
    <w:rsid w:val="00115EB9"/>
    <w:rsid w:val="00116F7B"/>
    <w:rsid w:val="001209C7"/>
    <w:rsid w:val="00120A6B"/>
    <w:rsid w:val="0012514C"/>
    <w:rsid w:val="00127981"/>
    <w:rsid w:val="00137EDC"/>
    <w:rsid w:val="001406F8"/>
    <w:rsid w:val="001409F1"/>
    <w:rsid w:val="00143249"/>
    <w:rsid w:val="0015258E"/>
    <w:rsid w:val="001527A3"/>
    <w:rsid w:val="00153887"/>
    <w:rsid w:val="00156454"/>
    <w:rsid w:val="00161B24"/>
    <w:rsid w:val="0016351F"/>
    <w:rsid w:val="00163D93"/>
    <w:rsid w:val="001646B9"/>
    <w:rsid w:val="0016630C"/>
    <w:rsid w:val="0017046C"/>
    <w:rsid w:val="00171FE5"/>
    <w:rsid w:val="00172AD7"/>
    <w:rsid w:val="00173B7F"/>
    <w:rsid w:val="00174017"/>
    <w:rsid w:val="00175583"/>
    <w:rsid w:val="0018046C"/>
    <w:rsid w:val="001804AB"/>
    <w:rsid w:val="00181A0B"/>
    <w:rsid w:val="00181E05"/>
    <w:rsid w:val="0018255C"/>
    <w:rsid w:val="00182E17"/>
    <w:rsid w:val="001834ED"/>
    <w:rsid w:val="001875F5"/>
    <w:rsid w:val="00193874"/>
    <w:rsid w:val="001A0819"/>
    <w:rsid w:val="001A57FD"/>
    <w:rsid w:val="001A5EC8"/>
    <w:rsid w:val="001B406A"/>
    <w:rsid w:val="001B4E91"/>
    <w:rsid w:val="001C1180"/>
    <w:rsid w:val="001C5C5D"/>
    <w:rsid w:val="001C62BE"/>
    <w:rsid w:val="001D2661"/>
    <w:rsid w:val="001D3756"/>
    <w:rsid w:val="001D6299"/>
    <w:rsid w:val="001E0568"/>
    <w:rsid w:val="001E2685"/>
    <w:rsid w:val="001E3773"/>
    <w:rsid w:val="001E4571"/>
    <w:rsid w:val="001E5633"/>
    <w:rsid w:val="001E6DC3"/>
    <w:rsid w:val="001F385F"/>
    <w:rsid w:val="001F612F"/>
    <w:rsid w:val="001F741A"/>
    <w:rsid w:val="00201DB4"/>
    <w:rsid w:val="00203B50"/>
    <w:rsid w:val="00210BAA"/>
    <w:rsid w:val="002127AB"/>
    <w:rsid w:val="00214477"/>
    <w:rsid w:val="00221DCE"/>
    <w:rsid w:val="00225F7B"/>
    <w:rsid w:val="00240DE1"/>
    <w:rsid w:val="002416E7"/>
    <w:rsid w:val="00246D7D"/>
    <w:rsid w:val="00247379"/>
    <w:rsid w:val="002475E4"/>
    <w:rsid w:val="00250696"/>
    <w:rsid w:val="002558FB"/>
    <w:rsid w:val="00266479"/>
    <w:rsid w:val="002707A3"/>
    <w:rsid w:val="00273546"/>
    <w:rsid w:val="002737FC"/>
    <w:rsid w:val="002804D3"/>
    <w:rsid w:val="00280513"/>
    <w:rsid w:val="00280AA6"/>
    <w:rsid w:val="00285596"/>
    <w:rsid w:val="0029041B"/>
    <w:rsid w:val="00294986"/>
    <w:rsid w:val="0029590A"/>
    <w:rsid w:val="002A1F8B"/>
    <w:rsid w:val="002A2E9D"/>
    <w:rsid w:val="002A4309"/>
    <w:rsid w:val="002B457C"/>
    <w:rsid w:val="002B5768"/>
    <w:rsid w:val="002B75E8"/>
    <w:rsid w:val="002C2311"/>
    <w:rsid w:val="002C4E0E"/>
    <w:rsid w:val="002C5387"/>
    <w:rsid w:val="002C603E"/>
    <w:rsid w:val="002D0B46"/>
    <w:rsid w:val="002D3A4D"/>
    <w:rsid w:val="002D4274"/>
    <w:rsid w:val="002D7552"/>
    <w:rsid w:val="002D7A7C"/>
    <w:rsid w:val="002E09FA"/>
    <w:rsid w:val="002E1C0E"/>
    <w:rsid w:val="002E5B68"/>
    <w:rsid w:val="002F12A2"/>
    <w:rsid w:val="002F14E8"/>
    <w:rsid w:val="002F39F2"/>
    <w:rsid w:val="002F3BAE"/>
    <w:rsid w:val="002F5801"/>
    <w:rsid w:val="00303700"/>
    <w:rsid w:val="003060B4"/>
    <w:rsid w:val="00307168"/>
    <w:rsid w:val="00315924"/>
    <w:rsid w:val="00322536"/>
    <w:rsid w:val="00322D85"/>
    <w:rsid w:val="00323E7C"/>
    <w:rsid w:val="00324F08"/>
    <w:rsid w:val="00327D38"/>
    <w:rsid w:val="0033002E"/>
    <w:rsid w:val="00330BE2"/>
    <w:rsid w:val="00331CDD"/>
    <w:rsid w:val="00336CB8"/>
    <w:rsid w:val="00341C02"/>
    <w:rsid w:val="00341C74"/>
    <w:rsid w:val="003427DE"/>
    <w:rsid w:val="00345974"/>
    <w:rsid w:val="00354F31"/>
    <w:rsid w:val="003601F6"/>
    <w:rsid w:val="00361BE7"/>
    <w:rsid w:val="00364154"/>
    <w:rsid w:val="00366CD2"/>
    <w:rsid w:val="00375259"/>
    <w:rsid w:val="003844C0"/>
    <w:rsid w:val="00384CC2"/>
    <w:rsid w:val="00384E79"/>
    <w:rsid w:val="003A104F"/>
    <w:rsid w:val="003A1470"/>
    <w:rsid w:val="003A4691"/>
    <w:rsid w:val="003A50F0"/>
    <w:rsid w:val="003A56EE"/>
    <w:rsid w:val="003A675D"/>
    <w:rsid w:val="003A7597"/>
    <w:rsid w:val="003A7E0B"/>
    <w:rsid w:val="003B1527"/>
    <w:rsid w:val="003B20D9"/>
    <w:rsid w:val="003C05EF"/>
    <w:rsid w:val="003C2ECA"/>
    <w:rsid w:val="003C2ED5"/>
    <w:rsid w:val="003C47AA"/>
    <w:rsid w:val="003C6DA8"/>
    <w:rsid w:val="003D2C24"/>
    <w:rsid w:val="003D5782"/>
    <w:rsid w:val="003E50A5"/>
    <w:rsid w:val="003E79C8"/>
    <w:rsid w:val="003F1D87"/>
    <w:rsid w:val="003F3E52"/>
    <w:rsid w:val="003F51D9"/>
    <w:rsid w:val="00403DBA"/>
    <w:rsid w:val="00404B5A"/>
    <w:rsid w:val="004052D8"/>
    <w:rsid w:val="004107D7"/>
    <w:rsid w:val="0041230F"/>
    <w:rsid w:val="00415E67"/>
    <w:rsid w:val="004222E8"/>
    <w:rsid w:val="00423E35"/>
    <w:rsid w:val="004253CA"/>
    <w:rsid w:val="00427929"/>
    <w:rsid w:val="004321A4"/>
    <w:rsid w:val="004428D2"/>
    <w:rsid w:val="00447ACA"/>
    <w:rsid w:val="004522AF"/>
    <w:rsid w:val="00460405"/>
    <w:rsid w:val="0046250B"/>
    <w:rsid w:val="00463F00"/>
    <w:rsid w:val="00472A9B"/>
    <w:rsid w:val="00472BDD"/>
    <w:rsid w:val="004733B5"/>
    <w:rsid w:val="00476E2D"/>
    <w:rsid w:val="0049013F"/>
    <w:rsid w:val="00490A44"/>
    <w:rsid w:val="0049233D"/>
    <w:rsid w:val="004940EE"/>
    <w:rsid w:val="004965F1"/>
    <w:rsid w:val="00496C00"/>
    <w:rsid w:val="004A5E0B"/>
    <w:rsid w:val="004A6682"/>
    <w:rsid w:val="004A7958"/>
    <w:rsid w:val="004A7A6C"/>
    <w:rsid w:val="004B05EA"/>
    <w:rsid w:val="004B2F55"/>
    <w:rsid w:val="004B2F8E"/>
    <w:rsid w:val="004B634E"/>
    <w:rsid w:val="004B6BB0"/>
    <w:rsid w:val="004B6E12"/>
    <w:rsid w:val="004B7331"/>
    <w:rsid w:val="004C0763"/>
    <w:rsid w:val="004C083A"/>
    <w:rsid w:val="004C257C"/>
    <w:rsid w:val="004C2EAE"/>
    <w:rsid w:val="004C393E"/>
    <w:rsid w:val="004C6146"/>
    <w:rsid w:val="004C73BD"/>
    <w:rsid w:val="004D0F59"/>
    <w:rsid w:val="004D2001"/>
    <w:rsid w:val="004D3F9B"/>
    <w:rsid w:val="004D4E12"/>
    <w:rsid w:val="004D5036"/>
    <w:rsid w:val="004D7585"/>
    <w:rsid w:val="004E3257"/>
    <w:rsid w:val="004E6C62"/>
    <w:rsid w:val="004F2803"/>
    <w:rsid w:val="004F6BB3"/>
    <w:rsid w:val="005048E6"/>
    <w:rsid w:val="005065B5"/>
    <w:rsid w:val="005175EA"/>
    <w:rsid w:val="00530E3F"/>
    <w:rsid w:val="00534552"/>
    <w:rsid w:val="00536B03"/>
    <w:rsid w:val="0054063E"/>
    <w:rsid w:val="005434E9"/>
    <w:rsid w:val="00544D14"/>
    <w:rsid w:val="00546EE2"/>
    <w:rsid w:val="00550151"/>
    <w:rsid w:val="00553251"/>
    <w:rsid w:val="005556C3"/>
    <w:rsid w:val="00557BEC"/>
    <w:rsid w:val="00560B2A"/>
    <w:rsid w:val="0056208B"/>
    <w:rsid w:val="00565321"/>
    <w:rsid w:val="00565461"/>
    <w:rsid w:val="0057241B"/>
    <w:rsid w:val="005729CD"/>
    <w:rsid w:val="00572F65"/>
    <w:rsid w:val="00574D1B"/>
    <w:rsid w:val="0057768F"/>
    <w:rsid w:val="00586224"/>
    <w:rsid w:val="005864C2"/>
    <w:rsid w:val="00586C5B"/>
    <w:rsid w:val="0059478E"/>
    <w:rsid w:val="00597BA4"/>
    <w:rsid w:val="005A207F"/>
    <w:rsid w:val="005A3530"/>
    <w:rsid w:val="005A4E17"/>
    <w:rsid w:val="005B0111"/>
    <w:rsid w:val="005B0B8C"/>
    <w:rsid w:val="005B14DB"/>
    <w:rsid w:val="005C4269"/>
    <w:rsid w:val="005D020E"/>
    <w:rsid w:val="005D348B"/>
    <w:rsid w:val="005D3B0F"/>
    <w:rsid w:val="005E15EA"/>
    <w:rsid w:val="005E42B1"/>
    <w:rsid w:val="005F16F1"/>
    <w:rsid w:val="005F3516"/>
    <w:rsid w:val="005F3D06"/>
    <w:rsid w:val="005F5158"/>
    <w:rsid w:val="005F58CD"/>
    <w:rsid w:val="005F7B6A"/>
    <w:rsid w:val="006017FB"/>
    <w:rsid w:val="00605B9B"/>
    <w:rsid w:val="00610D08"/>
    <w:rsid w:val="00610F77"/>
    <w:rsid w:val="00616B67"/>
    <w:rsid w:val="0062049E"/>
    <w:rsid w:val="00623964"/>
    <w:rsid w:val="0062629A"/>
    <w:rsid w:val="00634572"/>
    <w:rsid w:val="00635BD6"/>
    <w:rsid w:val="00636C30"/>
    <w:rsid w:val="006379CD"/>
    <w:rsid w:val="00642954"/>
    <w:rsid w:val="0064369F"/>
    <w:rsid w:val="006441A2"/>
    <w:rsid w:val="006452D1"/>
    <w:rsid w:val="00647A8D"/>
    <w:rsid w:val="00651C7D"/>
    <w:rsid w:val="006611A0"/>
    <w:rsid w:val="00665FE3"/>
    <w:rsid w:val="00670E88"/>
    <w:rsid w:val="0067511F"/>
    <w:rsid w:val="006827BA"/>
    <w:rsid w:val="0068703D"/>
    <w:rsid w:val="00690DB2"/>
    <w:rsid w:val="006918EE"/>
    <w:rsid w:val="0069289D"/>
    <w:rsid w:val="006940F0"/>
    <w:rsid w:val="00696182"/>
    <w:rsid w:val="006A0DF7"/>
    <w:rsid w:val="006A1A84"/>
    <w:rsid w:val="006B100D"/>
    <w:rsid w:val="006B25CC"/>
    <w:rsid w:val="006B26FE"/>
    <w:rsid w:val="006B2733"/>
    <w:rsid w:val="006B4872"/>
    <w:rsid w:val="006B7CA6"/>
    <w:rsid w:val="006C0F25"/>
    <w:rsid w:val="006C3798"/>
    <w:rsid w:val="006C73A2"/>
    <w:rsid w:val="006D1AE1"/>
    <w:rsid w:val="006D1FB7"/>
    <w:rsid w:val="006D22B0"/>
    <w:rsid w:val="006D31B6"/>
    <w:rsid w:val="006D4B48"/>
    <w:rsid w:val="006E037C"/>
    <w:rsid w:val="006E647D"/>
    <w:rsid w:val="006E7E95"/>
    <w:rsid w:val="006F53B3"/>
    <w:rsid w:val="00701BD6"/>
    <w:rsid w:val="00705EC5"/>
    <w:rsid w:val="0070604C"/>
    <w:rsid w:val="00706283"/>
    <w:rsid w:val="007107F0"/>
    <w:rsid w:val="0072011D"/>
    <w:rsid w:val="007212EF"/>
    <w:rsid w:val="00722FCD"/>
    <w:rsid w:val="00723FA8"/>
    <w:rsid w:val="007333C3"/>
    <w:rsid w:val="0074102F"/>
    <w:rsid w:val="00741848"/>
    <w:rsid w:val="00745A41"/>
    <w:rsid w:val="00745CF9"/>
    <w:rsid w:val="00746F22"/>
    <w:rsid w:val="00752E3C"/>
    <w:rsid w:val="007535EA"/>
    <w:rsid w:val="0075483A"/>
    <w:rsid w:val="00766685"/>
    <w:rsid w:val="00766C83"/>
    <w:rsid w:val="00770468"/>
    <w:rsid w:val="00776680"/>
    <w:rsid w:val="00776BC2"/>
    <w:rsid w:val="00777F5F"/>
    <w:rsid w:val="00782B6C"/>
    <w:rsid w:val="00784DF2"/>
    <w:rsid w:val="00786F74"/>
    <w:rsid w:val="0078795D"/>
    <w:rsid w:val="00787A0B"/>
    <w:rsid w:val="007933C2"/>
    <w:rsid w:val="007B02AD"/>
    <w:rsid w:val="007B2167"/>
    <w:rsid w:val="007B3E90"/>
    <w:rsid w:val="007C0313"/>
    <w:rsid w:val="007C6011"/>
    <w:rsid w:val="007D00FE"/>
    <w:rsid w:val="007D3873"/>
    <w:rsid w:val="007D44AE"/>
    <w:rsid w:val="007D4555"/>
    <w:rsid w:val="007E20A9"/>
    <w:rsid w:val="007E33E2"/>
    <w:rsid w:val="007E3904"/>
    <w:rsid w:val="007F06F7"/>
    <w:rsid w:val="007F252C"/>
    <w:rsid w:val="007F572D"/>
    <w:rsid w:val="008015B0"/>
    <w:rsid w:val="0080534C"/>
    <w:rsid w:val="0080658C"/>
    <w:rsid w:val="008101DD"/>
    <w:rsid w:val="00810EFE"/>
    <w:rsid w:val="00815B1F"/>
    <w:rsid w:val="0081617A"/>
    <w:rsid w:val="008178AA"/>
    <w:rsid w:val="00833B05"/>
    <w:rsid w:val="00836BA8"/>
    <w:rsid w:val="00837EAA"/>
    <w:rsid w:val="008438A5"/>
    <w:rsid w:val="0084420A"/>
    <w:rsid w:val="00844306"/>
    <w:rsid w:val="0084683A"/>
    <w:rsid w:val="008519A9"/>
    <w:rsid w:val="008531F8"/>
    <w:rsid w:val="00854AC0"/>
    <w:rsid w:val="0085504F"/>
    <w:rsid w:val="00857322"/>
    <w:rsid w:val="0086254B"/>
    <w:rsid w:val="00867E6A"/>
    <w:rsid w:val="0087019F"/>
    <w:rsid w:val="008863E4"/>
    <w:rsid w:val="00890D0F"/>
    <w:rsid w:val="00892C64"/>
    <w:rsid w:val="0089399B"/>
    <w:rsid w:val="00896F5A"/>
    <w:rsid w:val="008A0C3E"/>
    <w:rsid w:val="008A2D51"/>
    <w:rsid w:val="008A35EE"/>
    <w:rsid w:val="008A541A"/>
    <w:rsid w:val="008A76EA"/>
    <w:rsid w:val="008A7E8D"/>
    <w:rsid w:val="008B06C7"/>
    <w:rsid w:val="008B23C1"/>
    <w:rsid w:val="008B31D4"/>
    <w:rsid w:val="008B6CBF"/>
    <w:rsid w:val="008B77FA"/>
    <w:rsid w:val="008C2C9C"/>
    <w:rsid w:val="008C3264"/>
    <w:rsid w:val="008C46C2"/>
    <w:rsid w:val="008C6408"/>
    <w:rsid w:val="008D080E"/>
    <w:rsid w:val="008D44F7"/>
    <w:rsid w:val="008E1EE8"/>
    <w:rsid w:val="008E6C6E"/>
    <w:rsid w:val="008E7BCD"/>
    <w:rsid w:val="008F37C7"/>
    <w:rsid w:val="008F38A2"/>
    <w:rsid w:val="00901565"/>
    <w:rsid w:val="009021CD"/>
    <w:rsid w:val="00902781"/>
    <w:rsid w:val="00906014"/>
    <w:rsid w:val="00906D4B"/>
    <w:rsid w:val="00912AF1"/>
    <w:rsid w:val="00914098"/>
    <w:rsid w:val="009158FC"/>
    <w:rsid w:val="00917A7E"/>
    <w:rsid w:val="009210A6"/>
    <w:rsid w:val="00921325"/>
    <w:rsid w:val="00921756"/>
    <w:rsid w:val="00921B83"/>
    <w:rsid w:val="009227B3"/>
    <w:rsid w:val="00923AC4"/>
    <w:rsid w:val="0092530E"/>
    <w:rsid w:val="00925707"/>
    <w:rsid w:val="0093055E"/>
    <w:rsid w:val="00930A34"/>
    <w:rsid w:val="00930C46"/>
    <w:rsid w:val="0093103B"/>
    <w:rsid w:val="00934760"/>
    <w:rsid w:val="009355B7"/>
    <w:rsid w:val="00945676"/>
    <w:rsid w:val="009619EF"/>
    <w:rsid w:val="0096252F"/>
    <w:rsid w:val="00965603"/>
    <w:rsid w:val="009712B3"/>
    <w:rsid w:val="0097646A"/>
    <w:rsid w:val="009802A3"/>
    <w:rsid w:val="00981337"/>
    <w:rsid w:val="009827EC"/>
    <w:rsid w:val="00984326"/>
    <w:rsid w:val="009911B7"/>
    <w:rsid w:val="00992351"/>
    <w:rsid w:val="009952D7"/>
    <w:rsid w:val="00995634"/>
    <w:rsid w:val="00996E3D"/>
    <w:rsid w:val="009A2252"/>
    <w:rsid w:val="009C3830"/>
    <w:rsid w:val="009C573E"/>
    <w:rsid w:val="009D43B0"/>
    <w:rsid w:val="009D4DC5"/>
    <w:rsid w:val="009D4F24"/>
    <w:rsid w:val="009D60DF"/>
    <w:rsid w:val="009E2E64"/>
    <w:rsid w:val="009E6005"/>
    <w:rsid w:val="009F0B7B"/>
    <w:rsid w:val="009F22B5"/>
    <w:rsid w:val="009F2A39"/>
    <w:rsid w:val="00A01CDE"/>
    <w:rsid w:val="00A02946"/>
    <w:rsid w:val="00A102C0"/>
    <w:rsid w:val="00A14455"/>
    <w:rsid w:val="00A14E8B"/>
    <w:rsid w:val="00A15313"/>
    <w:rsid w:val="00A16E55"/>
    <w:rsid w:val="00A21172"/>
    <w:rsid w:val="00A2265D"/>
    <w:rsid w:val="00A22C76"/>
    <w:rsid w:val="00A23246"/>
    <w:rsid w:val="00A244A6"/>
    <w:rsid w:val="00A24CAA"/>
    <w:rsid w:val="00A3014D"/>
    <w:rsid w:val="00A33EBE"/>
    <w:rsid w:val="00A41904"/>
    <w:rsid w:val="00A44246"/>
    <w:rsid w:val="00A47D8C"/>
    <w:rsid w:val="00A50A01"/>
    <w:rsid w:val="00A5201F"/>
    <w:rsid w:val="00A651B5"/>
    <w:rsid w:val="00A65304"/>
    <w:rsid w:val="00A70C99"/>
    <w:rsid w:val="00A711BD"/>
    <w:rsid w:val="00A758CF"/>
    <w:rsid w:val="00A75AEF"/>
    <w:rsid w:val="00A8264F"/>
    <w:rsid w:val="00A82FB1"/>
    <w:rsid w:val="00A8331F"/>
    <w:rsid w:val="00A83A4D"/>
    <w:rsid w:val="00A866D9"/>
    <w:rsid w:val="00A87C0B"/>
    <w:rsid w:val="00A9418C"/>
    <w:rsid w:val="00A952CE"/>
    <w:rsid w:val="00A96BD5"/>
    <w:rsid w:val="00A970C2"/>
    <w:rsid w:val="00A974AC"/>
    <w:rsid w:val="00AA2342"/>
    <w:rsid w:val="00AA5FE8"/>
    <w:rsid w:val="00AA641D"/>
    <w:rsid w:val="00AB1E82"/>
    <w:rsid w:val="00AB2672"/>
    <w:rsid w:val="00AB5B9C"/>
    <w:rsid w:val="00AC1457"/>
    <w:rsid w:val="00AC6639"/>
    <w:rsid w:val="00AD683F"/>
    <w:rsid w:val="00AE158F"/>
    <w:rsid w:val="00AF31D6"/>
    <w:rsid w:val="00AF32C6"/>
    <w:rsid w:val="00B03DB7"/>
    <w:rsid w:val="00B05F7B"/>
    <w:rsid w:val="00B06C6D"/>
    <w:rsid w:val="00B10A76"/>
    <w:rsid w:val="00B11D44"/>
    <w:rsid w:val="00B20C72"/>
    <w:rsid w:val="00B321C5"/>
    <w:rsid w:val="00B32ADE"/>
    <w:rsid w:val="00B35CB6"/>
    <w:rsid w:val="00B40836"/>
    <w:rsid w:val="00B4203E"/>
    <w:rsid w:val="00B42984"/>
    <w:rsid w:val="00B46E0F"/>
    <w:rsid w:val="00B50030"/>
    <w:rsid w:val="00B56271"/>
    <w:rsid w:val="00B602DF"/>
    <w:rsid w:val="00B63F85"/>
    <w:rsid w:val="00B67761"/>
    <w:rsid w:val="00B822EE"/>
    <w:rsid w:val="00B85C58"/>
    <w:rsid w:val="00BA672F"/>
    <w:rsid w:val="00BB07CB"/>
    <w:rsid w:val="00BB49FA"/>
    <w:rsid w:val="00BB5967"/>
    <w:rsid w:val="00BB7C7C"/>
    <w:rsid w:val="00BC173B"/>
    <w:rsid w:val="00BC4796"/>
    <w:rsid w:val="00BC7889"/>
    <w:rsid w:val="00BD03EC"/>
    <w:rsid w:val="00BD0F74"/>
    <w:rsid w:val="00BD1A4C"/>
    <w:rsid w:val="00BD2BD3"/>
    <w:rsid w:val="00BE249F"/>
    <w:rsid w:val="00BE5729"/>
    <w:rsid w:val="00BF2D5C"/>
    <w:rsid w:val="00C01187"/>
    <w:rsid w:val="00C01546"/>
    <w:rsid w:val="00C02999"/>
    <w:rsid w:val="00C05E25"/>
    <w:rsid w:val="00C071E6"/>
    <w:rsid w:val="00C075D2"/>
    <w:rsid w:val="00C21393"/>
    <w:rsid w:val="00C26EC3"/>
    <w:rsid w:val="00C31ACF"/>
    <w:rsid w:val="00C34F9A"/>
    <w:rsid w:val="00C352DC"/>
    <w:rsid w:val="00C36782"/>
    <w:rsid w:val="00C374EB"/>
    <w:rsid w:val="00C41610"/>
    <w:rsid w:val="00C42DE3"/>
    <w:rsid w:val="00C451C6"/>
    <w:rsid w:val="00C47684"/>
    <w:rsid w:val="00C507B3"/>
    <w:rsid w:val="00C5158D"/>
    <w:rsid w:val="00C5165B"/>
    <w:rsid w:val="00C51A45"/>
    <w:rsid w:val="00C54FF4"/>
    <w:rsid w:val="00C710D9"/>
    <w:rsid w:val="00C7563E"/>
    <w:rsid w:val="00C75665"/>
    <w:rsid w:val="00C77CA4"/>
    <w:rsid w:val="00C82333"/>
    <w:rsid w:val="00C8548B"/>
    <w:rsid w:val="00C9592A"/>
    <w:rsid w:val="00C95BA1"/>
    <w:rsid w:val="00CA024E"/>
    <w:rsid w:val="00CA030D"/>
    <w:rsid w:val="00CA10AB"/>
    <w:rsid w:val="00CA1C8B"/>
    <w:rsid w:val="00CA1E06"/>
    <w:rsid w:val="00CA1F62"/>
    <w:rsid w:val="00CA7077"/>
    <w:rsid w:val="00CB603E"/>
    <w:rsid w:val="00CB7EF8"/>
    <w:rsid w:val="00CC74F2"/>
    <w:rsid w:val="00CC75D1"/>
    <w:rsid w:val="00CD1932"/>
    <w:rsid w:val="00CD392C"/>
    <w:rsid w:val="00CD6978"/>
    <w:rsid w:val="00CD7921"/>
    <w:rsid w:val="00CE1C84"/>
    <w:rsid w:val="00CF3275"/>
    <w:rsid w:val="00CF3B35"/>
    <w:rsid w:val="00CF4143"/>
    <w:rsid w:val="00CF6EB3"/>
    <w:rsid w:val="00D02254"/>
    <w:rsid w:val="00D02CBE"/>
    <w:rsid w:val="00D02D37"/>
    <w:rsid w:val="00D03115"/>
    <w:rsid w:val="00D040FE"/>
    <w:rsid w:val="00D11CC5"/>
    <w:rsid w:val="00D120F5"/>
    <w:rsid w:val="00D162AF"/>
    <w:rsid w:val="00D17FE9"/>
    <w:rsid w:val="00D213C5"/>
    <w:rsid w:val="00D24763"/>
    <w:rsid w:val="00D257B8"/>
    <w:rsid w:val="00D26AC0"/>
    <w:rsid w:val="00D311C1"/>
    <w:rsid w:val="00D31AD9"/>
    <w:rsid w:val="00D320A3"/>
    <w:rsid w:val="00D32FCA"/>
    <w:rsid w:val="00D33BA7"/>
    <w:rsid w:val="00D378E9"/>
    <w:rsid w:val="00D43913"/>
    <w:rsid w:val="00D4649A"/>
    <w:rsid w:val="00D50328"/>
    <w:rsid w:val="00D5216A"/>
    <w:rsid w:val="00D53D6C"/>
    <w:rsid w:val="00D5425A"/>
    <w:rsid w:val="00D54E21"/>
    <w:rsid w:val="00D601B9"/>
    <w:rsid w:val="00D64817"/>
    <w:rsid w:val="00D65B23"/>
    <w:rsid w:val="00D71402"/>
    <w:rsid w:val="00D80376"/>
    <w:rsid w:val="00D9080A"/>
    <w:rsid w:val="00D9095D"/>
    <w:rsid w:val="00D9235D"/>
    <w:rsid w:val="00D9301D"/>
    <w:rsid w:val="00D933A8"/>
    <w:rsid w:val="00D9527B"/>
    <w:rsid w:val="00D963C0"/>
    <w:rsid w:val="00D96A27"/>
    <w:rsid w:val="00DA0821"/>
    <w:rsid w:val="00DA1D8A"/>
    <w:rsid w:val="00DA256F"/>
    <w:rsid w:val="00DA2E25"/>
    <w:rsid w:val="00DA42D1"/>
    <w:rsid w:val="00DA555D"/>
    <w:rsid w:val="00DA64EE"/>
    <w:rsid w:val="00DA6D11"/>
    <w:rsid w:val="00DB7018"/>
    <w:rsid w:val="00DB7F41"/>
    <w:rsid w:val="00DC2C9D"/>
    <w:rsid w:val="00DC2D1D"/>
    <w:rsid w:val="00DC74EA"/>
    <w:rsid w:val="00DD114B"/>
    <w:rsid w:val="00DD1C75"/>
    <w:rsid w:val="00DD26A1"/>
    <w:rsid w:val="00DD58B8"/>
    <w:rsid w:val="00DD7902"/>
    <w:rsid w:val="00DE1577"/>
    <w:rsid w:val="00DE29D5"/>
    <w:rsid w:val="00DE2FFA"/>
    <w:rsid w:val="00DE5022"/>
    <w:rsid w:val="00DE5D85"/>
    <w:rsid w:val="00DE6929"/>
    <w:rsid w:val="00DF7832"/>
    <w:rsid w:val="00E002D0"/>
    <w:rsid w:val="00E02811"/>
    <w:rsid w:val="00E03D10"/>
    <w:rsid w:val="00E1026B"/>
    <w:rsid w:val="00E12231"/>
    <w:rsid w:val="00E140C5"/>
    <w:rsid w:val="00E14811"/>
    <w:rsid w:val="00E21078"/>
    <w:rsid w:val="00E244F4"/>
    <w:rsid w:val="00E24C8E"/>
    <w:rsid w:val="00E3293B"/>
    <w:rsid w:val="00E34CC5"/>
    <w:rsid w:val="00E3638E"/>
    <w:rsid w:val="00E36D8B"/>
    <w:rsid w:val="00E403DD"/>
    <w:rsid w:val="00E421D4"/>
    <w:rsid w:val="00E43ACE"/>
    <w:rsid w:val="00E4485E"/>
    <w:rsid w:val="00E532D8"/>
    <w:rsid w:val="00E57E1B"/>
    <w:rsid w:val="00E61495"/>
    <w:rsid w:val="00E64D6F"/>
    <w:rsid w:val="00E66DA3"/>
    <w:rsid w:val="00E73C99"/>
    <w:rsid w:val="00E86AA8"/>
    <w:rsid w:val="00E86CE8"/>
    <w:rsid w:val="00E9353C"/>
    <w:rsid w:val="00EA1C84"/>
    <w:rsid w:val="00EA5C2F"/>
    <w:rsid w:val="00EB1B7E"/>
    <w:rsid w:val="00EB4F6A"/>
    <w:rsid w:val="00EC1A23"/>
    <w:rsid w:val="00EC2077"/>
    <w:rsid w:val="00EC7652"/>
    <w:rsid w:val="00ED2089"/>
    <w:rsid w:val="00ED4087"/>
    <w:rsid w:val="00ED7054"/>
    <w:rsid w:val="00ED7424"/>
    <w:rsid w:val="00ED7BC2"/>
    <w:rsid w:val="00EE02A4"/>
    <w:rsid w:val="00EE0F67"/>
    <w:rsid w:val="00EE20CC"/>
    <w:rsid w:val="00EF2CE0"/>
    <w:rsid w:val="00EF79A5"/>
    <w:rsid w:val="00F0364D"/>
    <w:rsid w:val="00F05EC7"/>
    <w:rsid w:val="00F11B17"/>
    <w:rsid w:val="00F134D5"/>
    <w:rsid w:val="00F152DC"/>
    <w:rsid w:val="00F15D78"/>
    <w:rsid w:val="00F27257"/>
    <w:rsid w:val="00F30F7E"/>
    <w:rsid w:val="00F32E65"/>
    <w:rsid w:val="00F43EC0"/>
    <w:rsid w:val="00F43FDB"/>
    <w:rsid w:val="00F47F81"/>
    <w:rsid w:val="00F525AE"/>
    <w:rsid w:val="00F53FC7"/>
    <w:rsid w:val="00F56313"/>
    <w:rsid w:val="00F57A1A"/>
    <w:rsid w:val="00F60F26"/>
    <w:rsid w:val="00F63035"/>
    <w:rsid w:val="00F70974"/>
    <w:rsid w:val="00F75726"/>
    <w:rsid w:val="00F75F00"/>
    <w:rsid w:val="00F80CCD"/>
    <w:rsid w:val="00F81154"/>
    <w:rsid w:val="00F875ED"/>
    <w:rsid w:val="00F87B7C"/>
    <w:rsid w:val="00F9337A"/>
    <w:rsid w:val="00F95F97"/>
    <w:rsid w:val="00FB1918"/>
    <w:rsid w:val="00FB2444"/>
    <w:rsid w:val="00FB4FCD"/>
    <w:rsid w:val="00FC5EFF"/>
    <w:rsid w:val="00FD2134"/>
    <w:rsid w:val="00FD37E9"/>
    <w:rsid w:val="00FD4A9D"/>
    <w:rsid w:val="00FD61EC"/>
    <w:rsid w:val="00FD6D03"/>
    <w:rsid w:val="00FD6F92"/>
    <w:rsid w:val="00FE22A7"/>
    <w:rsid w:val="00FF21BB"/>
    <w:rsid w:val="00FF288D"/>
    <w:rsid w:val="00FF431D"/>
    <w:rsid w:val="104C0BD1"/>
    <w:rsid w:val="1A8E2F75"/>
    <w:rsid w:val="282046AE"/>
    <w:rsid w:val="3D686644"/>
    <w:rsid w:val="3F8F01E1"/>
    <w:rsid w:val="51E14DEE"/>
    <w:rsid w:val="61C14EDA"/>
    <w:rsid w:val="65821E14"/>
    <w:rsid w:val="68154A8B"/>
    <w:rsid w:val="747020F2"/>
    <w:rsid w:val="76E813D0"/>
    <w:rsid w:val="7D5B2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8"/>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hAnsiTheme="minorHAnsi"/>
      <w:sz w:val="18"/>
      <w:szCs w:val="18"/>
    </w:rPr>
  </w:style>
  <w:style w:type="paragraph" w:styleId="6">
    <w:name w:val="annotation text"/>
    <w:basedOn w:val="1"/>
    <w:link w:val="43"/>
    <w:qFormat/>
    <w:uiPriority w:val="0"/>
    <w:pPr>
      <w:jc w:val="left"/>
    </w:pPr>
    <w:rPr>
      <w:szCs w:val="20"/>
    </w:rPr>
  </w:style>
  <w:style w:type="paragraph" w:styleId="7">
    <w:name w:val="Body Text Indent"/>
    <w:basedOn w:val="1"/>
    <w:link w:val="37"/>
    <w:qFormat/>
    <w:uiPriority w:val="0"/>
    <w:pPr>
      <w:adjustRightInd w:val="0"/>
      <w:snapToGrid w:val="0"/>
      <w:spacing w:line="500" w:lineRule="atLeast"/>
      <w:ind w:left="1" w:firstLine="560" w:firstLineChars="200"/>
    </w:pPr>
    <w:rPr>
      <w:rFonts w:eastAsia="仿宋_GB2312"/>
      <w:sz w:val="28"/>
      <w:szCs w:val="20"/>
    </w:rPr>
  </w:style>
  <w:style w:type="paragraph" w:styleId="8">
    <w:name w:val="toc 5"/>
    <w:basedOn w:val="1"/>
    <w:next w:val="1"/>
    <w:unhideWhenUsed/>
    <w:qFormat/>
    <w:uiPriority w:val="39"/>
    <w:pPr>
      <w:ind w:left="840"/>
      <w:jc w:val="left"/>
    </w:pPr>
    <w:rPr>
      <w:rFonts w:asciiTheme="minorHAnsi" w:hAnsiTheme="minorHAnsi"/>
      <w:sz w:val="18"/>
      <w:szCs w:val="18"/>
    </w:rPr>
  </w:style>
  <w:style w:type="paragraph" w:styleId="9">
    <w:name w:val="toc 3"/>
    <w:basedOn w:val="1"/>
    <w:next w:val="1"/>
    <w:unhideWhenUsed/>
    <w:qFormat/>
    <w:uiPriority w:val="39"/>
    <w:pPr>
      <w:ind w:left="420"/>
      <w:jc w:val="left"/>
    </w:pPr>
    <w:rPr>
      <w:rFonts w:asciiTheme="minorHAnsi" w:hAnsiTheme="minorHAnsi"/>
      <w:i/>
      <w:iCs/>
      <w:sz w:val="20"/>
      <w:szCs w:val="20"/>
    </w:rPr>
  </w:style>
  <w:style w:type="paragraph" w:styleId="10">
    <w:name w:val="Plain Text"/>
    <w:basedOn w:val="1"/>
    <w:link w:val="45"/>
    <w:qFormat/>
    <w:uiPriority w:val="0"/>
    <w:rPr>
      <w:rFonts w:ascii="宋体" w:hAnsi="Courier New"/>
      <w:szCs w:val="20"/>
    </w:rPr>
  </w:style>
  <w:style w:type="paragraph" w:styleId="11">
    <w:name w:val="toc 8"/>
    <w:basedOn w:val="1"/>
    <w:next w:val="1"/>
    <w:unhideWhenUsed/>
    <w:qFormat/>
    <w:uiPriority w:val="39"/>
    <w:pPr>
      <w:ind w:left="1470"/>
      <w:jc w:val="left"/>
    </w:pPr>
    <w:rPr>
      <w:rFonts w:asciiTheme="minorHAnsi" w:hAnsiTheme="minorHAnsi"/>
      <w:sz w:val="18"/>
      <w:szCs w:val="18"/>
    </w:rPr>
  </w:style>
  <w:style w:type="paragraph" w:styleId="12">
    <w:name w:val="Date"/>
    <w:basedOn w:val="1"/>
    <w:next w:val="1"/>
    <w:link w:val="51"/>
    <w:semiHidden/>
    <w:unhideWhenUsed/>
    <w:qFormat/>
    <w:uiPriority w:val="99"/>
    <w:pPr>
      <w:ind w:left="100" w:leftChars="2500"/>
    </w:pPr>
  </w:style>
  <w:style w:type="paragraph" w:styleId="13">
    <w:name w:val="Balloon Text"/>
    <w:basedOn w:val="1"/>
    <w:link w:val="44"/>
    <w:semiHidden/>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heme="minorHAnsi" w:hAnsi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sz w:val="18"/>
      <w:szCs w:val="18"/>
    </w:rPr>
  </w:style>
  <w:style w:type="paragraph" w:styleId="18">
    <w:name w:val="toc 6"/>
    <w:basedOn w:val="1"/>
    <w:next w:val="1"/>
    <w:unhideWhenUsed/>
    <w:qFormat/>
    <w:uiPriority w:val="39"/>
    <w:pPr>
      <w:ind w:left="1050"/>
      <w:jc w:val="left"/>
    </w:pPr>
    <w:rPr>
      <w:rFonts w:asciiTheme="minorHAnsi" w:hAnsiTheme="minorHAnsi"/>
      <w:sz w:val="18"/>
      <w:szCs w:val="18"/>
    </w:rPr>
  </w:style>
  <w:style w:type="paragraph" w:styleId="19">
    <w:name w:val="toc 2"/>
    <w:basedOn w:val="1"/>
    <w:next w:val="1"/>
    <w:qFormat/>
    <w:uiPriority w:val="0"/>
    <w:pPr>
      <w:ind w:left="210"/>
      <w:jc w:val="left"/>
    </w:pPr>
    <w:rPr>
      <w:rFonts w:asciiTheme="minorHAnsi" w:hAnsiTheme="minorHAnsi"/>
      <w:smallCaps/>
      <w:sz w:val="20"/>
      <w:szCs w:val="20"/>
    </w:rPr>
  </w:style>
  <w:style w:type="paragraph" w:styleId="20">
    <w:name w:val="toc 9"/>
    <w:basedOn w:val="1"/>
    <w:next w:val="1"/>
    <w:unhideWhenUsed/>
    <w:qFormat/>
    <w:uiPriority w:val="39"/>
    <w:pPr>
      <w:ind w:left="1680"/>
      <w:jc w:val="left"/>
    </w:pPr>
    <w:rPr>
      <w:rFonts w:asciiTheme="minorHAnsi" w:hAnsi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semiHidden/>
    <w:unhideWhenUsed/>
    <w:qFormat/>
    <w:uiPriority w:val="99"/>
    <w:rPr>
      <w:color w:val="1B4959"/>
      <w:u w:val="none"/>
    </w:rPr>
  </w:style>
  <w:style w:type="character" w:styleId="27">
    <w:name w:val="Emphasis"/>
    <w:basedOn w:val="24"/>
    <w:qFormat/>
    <w:uiPriority w:val="0"/>
    <w:rPr>
      <w:sz w:val="1"/>
      <w:szCs w:val="1"/>
      <w:shd w:val="clear" w:fill="FFFFFF"/>
    </w:rPr>
  </w:style>
  <w:style w:type="character" w:styleId="28">
    <w:name w:val="HTML Definition"/>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qFormat/>
    <w:uiPriority w:val="99"/>
    <w:rPr>
      <w:color w:val="1B4959"/>
      <w:u w:val="none"/>
    </w:rPr>
  </w:style>
  <w:style w:type="character" w:styleId="31">
    <w:name w:val="HTML Code"/>
    <w:basedOn w:val="24"/>
    <w:semiHidden/>
    <w:unhideWhenUsed/>
    <w:qFormat/>
    <w:uiPriority w:val="99"/>
    <w:rPr>
      <w:rFonts w:ascii="Courier New" w:hAnsi="Courier New"/>
      <w:sz w:val="20"/>
    </w:rPr>
  </w:style>
  <w:style w:type="character" w:styleId="32">
    <w:name w:val="annotation reference"/>
    <w:basedOn w:val="24"/>
    <w:semiHidden/>
    <w:qFormat/>
    <w:uiPriority w:val="0"/>
    <w:rPr>
      <w:sz w:val="21"/>
      <w:szCs w:val="21"/>
    </w:rPr>
  </w:style>
  <w:style w:type="character" w:styleId="33">
    <w:name w:val="HTML Cite"/>
    <w:basedOn w:val="24"/>
    <w:semiHidden/>
    <w:unhideWhenUsed/>
    <w:qFormat/>
    <w:uiPriority w:val="99"/>
  </w:style>
  <w:style w:type="character" w:customStyle="1" w:styleId="34">
    <w:name w:val="标题 1 Char"/>
    <w:basedOn w:val="24"/>
    <w:link w:val="2"/>
    <w:qFormat/>
    <w:uiPriority w:val="0"/>
    <w:rPr>
      <w:rFonts w:ascii="PMingLiU" w:hAnsi="Arial" w:eastAsia="PMingLiU"/>
      <w:b/>
      <w:sz w:val="60"/>
      <w:lang w:eastAsia="zh-TW"/>
    </w:rPr>
  </w:style>
  <w:style w:type="paragraph" w:styleId="35">
    <w:name w:val="List Paragraph"/>
    <w:basedOn w:val="1"/>
    <w:qFormat/>
    <w:uiPriority w:val="34"/>
    <w:pPr>
      <w:ind w:firstLine="420" w:firstLineChars="200"/>
    </w:pPr>
  </w:style>
  <w:style w:type="paragraph" w:customStyle="1" w:styleId="36">
    <w:name w:val="Char"/>
    <w:basedOn w:val="1"/>
    <w:qFormat/>
    <w:uiPriority w:val="0"/>
    <w:rPr>
      <w:szCs w:val="20"/>
    </w:rPr>
  </w:style>
  <w:style w:type="character" w:customStyle="1" w:styleId="37">
    <w:name w:val="正文文本缩进 Char"/>
    <w:basedOn w:val="24"/>
    <w:link w:val="7"/>
    <w:qFormat/>
    <w:uiPriority w:val="0"/>
    <w:rPr>
      <w:rFonts w:eastAsia="仿宋_GB2312"/>
      <w:kern w:val="2"/>
      <w:sz w:val="28"/>
    </w:rPr>
  </w:style>
  <w:style w:type="character" w:customStyle="1" w:styleId="38">
    <w:name w:val="页眉 Char"/>
    <w:basedOn w:val="24"/>
    <w:link w:val="15"/>
    <w:qFormat/>
    <w:uiPriority w:val="99"/>
    <w:rPr>
      <w:kern w:val="2"/>
      <w:sz w:val="18"/>
      <w:szCs w:val="18"/>
    </w:rPr>
  </w:style>
  <w:style w:type="character" w:customStyle="1" w:styleId="39">
    <w:name w:val="页脚 Char"/>
    <w:basedOn w:val="24"/>
    <w:link w:val="14"/>
    <w:qFormat/>
    <w:uiPriority w:val="99"/>
    <w:rPr>
      <w:kern w:val="2"/>
      <w:sz w:val="18"/>
      <w:szCs w:val="18"/>
    </w:rPr>
  </w:style>
  <w:style w:type="character" w:customStyle="1" w:styleId="40">
    <w:name w:val="标题 2 Char"/>
    <w:basedOn w:val="24"/>
    <w:link w:val="3"/>
    <w:semiHidden/>
    <w:qFormat/>
    <w:uiPriority w:val="0"/>
    <w:rPr>
      <w:rFonts w:asciiTheme="majorHAnsi" w:hAnsiTheme="majorHAnsi" w:eastAsiaTheme="majorEastAsia" w:cstheme="majorBidi"/>
      <w:b/>
      <w:bCs/>
      <w:kern w:val="2"/>
      <w:sz w:val="32"/>
      <w:szCs w:val="32"/>
    </w:rPr>
  </w:style>
  <w:style w:type="paragraph" w:customStyle="1" w:styleId="41">
    <w:name w:val="Char1"/>
    <w:basedOn w:val="1"/>
    <w:qFormat/>
    <w:uiPriority w:val="0"/>
    <w:rPr>
      <w:szCs w:val="20"/>
    </w:rPr>
  </w:style>
  <w:style w:type="paragraph" w:customStyle="1" w:styleId="42">
    <w:name w:val="Char2"/>
    <w:basedOn w:val="1"/>
    <w:qFormat/>
    <w:uiPriority w:val="0"/>
    <w:rPr>
      <w:szCs w:val="20"/>
    </w:rPr>
  </w:style>
  <w:style w:type="character" w:customStyle="1" w:styleId="43">
    <w:name w:val="批注文字 Char"/>
    <w:basedOn w:val="24"/>
    <w:link w:val="6"/>
    <w:qFormat/>
    <w:uiPriority w:val="0"/>
    <w:rPr>
      <w:kern w:val="2"/>
      <w:sz w:val="21"/>
    </w:rPr>
  </w:style>
  <w:style w:type="character" w:customStyle="1" w:styleId="44">
    <w:name w:val="批注框文本 Char"/>
    <w:basedOn w:val="24"/>
    <w:link w:val="13"/>
    <w:semiHidden/>
    <w:qFormat/>
    <w:uiPriority w:val="99"/>
    <w:rPr>
      <w:kern w:val="2"/>
      <w:sz w:val="18"/>
      <w:szCs w:val="18"/>
    </w:rPr>
  </w:style>
  <w:style w:type="character" w:customStyle="1" w:styleId="45">
    <w:name w:val="纯文本 Char"/>
    <w:basedOn w:val="24"/>
    <w:link w:val="10"/>
    <w:qFormat/>
    <w:uiPriority w:val="0"/>
    <w:rPr>
      <w:rFonts w:ascii="宋体" w:hAnsi="Courier New"/>
      <w:kern w:val="2"/>
      <w:sz w:val="21"/>
    </w:rPr>
  </w:style>
  <w:style w:type="paragraph" w:customStyle="1" w:styleId="46">
    <w:name w:val="Char3"/>
    <w:basedOn w:val="1"/>
    <w:qFormat/>
    <w:uiPriority w:val="0"/>
    <w:rPr>
      <w:szCs w:val="20"/>
    </w:rPr>
  </w:style>
  <w:style w:type="paragraph" w:customStyle="1" w:styleId="47">
    <w:name w:val="Char4"/>
    <w:basedOn w:val="1"/>
    <w:qFormat/>
    <w:uiPriority w:val="0"/>
    <w:rPr>
      <w:szCs w:val="20"/>
    </w:rPr>
  </w:style>
  <w:style w:type="character" w:customStyle="1" w:styleId="48">
    <w:name w:val="标题 3 Char"/>
    <w:basedOn w:val="24"/>
    <w:link w:val="4"/>
    <w:semiHidden/>
    <w:qFormat/>
    <w:uiPriority w:val="0"/>
    <w:rPr>
      <w:b/>
      <w:bCs/>
      <w:kern w:val="2"/>
      <w:sz w:val="32"/>
      <w:szCs w:val="32"/>
    </w:rPr>
  </w:style>
  <w:style w:type="character" w:customStyle="1" w:styleId="49">
    <w:name w:val="apple-converted-space"/>
    <w:basedOn w:val="24"/>
    <w:qFormat/>
    <w:uiPriority w:val="0"/>
  </w:style>
  <w:style w:type="paragraph" w:customStyle="1" w:styleId="50">
    <w:name w:val="Char5"/>
    <w:basedOn w:val="1"/>
    <w:qFormat/>
    <w:uiPriority w:val="0"/>
    <w:rPr>
      <w:szCs w:val="20"/>
    </w:rPr>
  </w:style>
  <w:style w:type="character" w:customStyle="1" w:styleId="51">
    <w:name w:val="日期 Char"/>
    <w:basedOn w:val="24"/>
    <w:link w:val="12"/>
    <w:semiHidden/>
    <w:qFormat/>
    <w:uiPriority w:val="99"/>
    <w:rPr>
      <w:kern w:val="2"/>
      <w:sz w:val="21"/>
      <w:szCs w:val="24"/>
    </w:rPr>
  </w:style>
  <w:style w:type="character" w:customStyle="1" w:styleId="52">
    <w:name w:val="15"/>
    <w:basedOn w:val="24"/>
    <w:qFormat/>
    <w:uiPriority w:val="0"/>
    <w:rPr>
      <w:rFonts w:hint="default" w:ascii="Times New Roman" w:hAnsi="Times New Roman" w:cs="Times New Roman"/>
      <w:b/>
      <w:bCs/>
    </w:rPr>
  </w:style>
  <w:style w:type="character" w:customStyle="1" w:styleId="53">
    <w:name w:val="x-tab-strip-text"/>
    <w:basedOn w:val="24"/>
    <w:qFormat/>
    <w:uiPriority w:val="0"/>
    <w:rPr>
      <w:color w:val="15428B"/>
    </w:rPr>
  </w:style>
  <w:style w:type="character" w:customStyle="1" w:styleId="54">
    <w:name w:val="x-tab-strip-text1"/>
    <w:basedOn w:val="24"/>
    <w:qFormat/>
    <w:uiPriority w:val="0"/>
    <w:rPr>
      <w:rFonts w:ascii="Tahoma" w:hAnsi="Tahoma" w:eastAsia="Tahoma" w:cs="Tahoma"/>
      <w:color w:val="416AA3"/>
      <w:sz w:val="18"/>
      <w:szCs w:val="18"/>
    </w:rPr>
  </w:style>
  <w:style w:type="character" w:customStyle="1" w:styleId="55">
    <w:name w:val="x-tab-strip-text2"/>
    <w:basedOn w:val="24"/>
    <w:qFormat/>
    <w:uiPriority w:val="0"/>
  </w:style>
  <w:style w:type="character" w:customStyle="1" w:styleId="56">
    <w:name w:val="x-tab-strip-text3"/>
    <w:basedOn w:val="24"/>
    <w:qFormat/>
    <w:uiPriority w:val="0"/>
  </w:style>
  <w:style w:type="character" w:customStyle="1" w:styleId="57">
    <w:name w:val="x-tab-strip-text4"/>
    <w:basedOn w:val="24"/>
    <w:qFormat/>
    <w:uiPriority w:val="0"/>
    <w:rPr>
      <w:b/>
      <w:bCs/>
      <w:color w:val="15428B"/>
    </w:rPr>
  </w:style>
  <w:style w:type="character" w:customStyle="1" w:styleId="58">
    <w:name w:val="x-tab-strip-text5"/>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13266</Words>
  <Characters>13831</Characters>
  <Lines>142</Lines>
  <Paragraphs>40</Paragraphs>
  <TotalTime>5</TotalTime>
  <ScaleCrop>false</ScaleCrop>
  <LinksUpToDate>false</LinksUpToDate>
  <CharactersWithSpaces>14079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2021-02-07T02:36:00Z</dcterms:created>
  <dc:creator>Lenovo01</dc:creator>
  <cp:lastModifiedBy>吴海荣</cp:lastModifiedBy>
  <cp:lastPrinted>2024-10-30T01:49:00Z</cp:lastPrinted>
  <dcterms:modified xsi:type="dcterms:W3CDTF">2024-12-10T01:21:05Z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A295D87712894EB2A9CD25889CF3EE96_12</vt:lpwstr>
  </property>
</Properties>
</file>